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pPr>
      <w:r>
        <w:rPr>
          <w:rFonts w:ascii="Helvetica Neue" w:cs="Helvetica Neue" w:eastAsia="Helvetica Neue" w:hAnsi="Helvetica Neue"/>
          <w:color w:val="B5432F"/>
          <w:spacing w:val="40"/>
          <w:sz w:val="20"/>
          <w:szCs w:val="20"/>
        </w:rPr>
        <w:t xml:space="preserve">A RITUAL ADS WHITE PAPER</w:t>
      </w:r>
    </w:p>
    <w:p>
      <w:pPr>
        <w:spacing w:after="120"/>
      </w:pPr>
      <w:r>
        <w:rPr>
          <w:rFonts w:ascii="Helvetica Neue" w:cs="Helvetica Neue" w:eastAsia="Helvetica Neue" w:hAnsi="Helvetica Neue"/>
          <w:b/>
          <w:bCs/>
          <w:color w:val="1B2A41"/>
          <w:sz w:val="60"/>
          <w:szCs w:val="60"/>
        </w:rPr>
        <w:t xml:space="preserve">The Narrative Intelligence Studio</w:t>
      </w:r>
    </w:p>
    <w:p>
      <w:pPr>
        <w:spacing w:after="600"/>
      </w:pPr>
      <w:r>
        <w:rPr>
          <w:rFonts w:ascii="Georgia" w:cs="Georgia" w:eastAsia="Georgia" w:hAnsi="Georgia"/>
          <w:i/>
          <w:iCs/>
          <w:color w:val="5C6B7A"/>
          <w:sz w:val="30"/>
          <w:szCs w:val="30"/>
        </w:rPr>
        <w:t xml:space="preserve">Story as a Clinical Variable, and the Institution That Owns It</w:t>
      </w:r>
    </w:p>
    <w:p>
      <w:pPr>
        <w:pBdr>
          <w:top w:val="single" w:color="B5432F" w:sz="12" w:space="8"/>
        </w:pBdr>
        <w:spacing w:after="200" w:before="200"/>
      </w:pPr>
      <w:r>
        <w:rPr>
          <w:sz w:val="2"/>
          <w:szCs w:val="2"/>
        </w:rPr>
        <w:t xml:space="preserve"/>
      </w:r>
    </w:p>
    <w:p>
      <w:pPr>
        <w:spacing w:after="60"/>
      </w:pPr>
      <w:r>
        <w:rPr>
          <w:rFonts w:ascii="Helvetica Neue" w:cs="Helvetica Neue" w:eastAsia="Helvetica Neue" w:hAnsi="Helvetica Neue"/>
          <w:b/>
          <w:bCs/>
          <w:color w:val="1B2A41"/>
          <w:sz w:val="24"/>
          <w:szCs w:val="24"/>
        </w:rPr>
        <w:t xml:space="preserve">Jethro Rothe-Kushel</w:t>
      </w:r>
    </w:p>
    <w:p>
      <w:pPr>
        <w:spacing w:after="60"/>
      </w:pPr>
      <w:r>
        <w:rPr>
          <w:rFonts w:ascii="Helvetica Neue" w:cs="Helvetica Neue" w:eastAsia="Helvetica Neue" w:hAnsi="Helvetica Neue"/>
          <w:color w:val="5C6B7A"/>
          <w:sz w:val="20"/>
          <w:szCs w:val="20"/>
        </w:rPr>
        <w:t xml:space="preserve">Founder and Chief Executive Officer, Ritual Ads, Inc.</w:t>
      </w:r>
    </w:p>
    <w:p>
      <w:pPr>
        <w:spacing w:after="2600"/>
      </w:pPr>
      <w:r>
        <w:rPr>
          <w:rFonts w:ascii="Helvetica Neue" w:cs="Helvetica Neue" w:eastAsia="Helvetica Neue" w:hAnsi="Helvetica Neue"/>
          <w:color w:val="5C6B7A"/>
          <w:sz w:val="20"/>
          <w:szCs w:val="20"/>
        </w:rPr>
        <w:t xml:space="preserve">September 2026</w:t>
      </w:r>
    </w:p>
    <w:p>
      <w:pPr>
        <w:spacing w:after="80"/>
      </w:pPr>
      <w:r>
        <w:rPr>
          <w:rFonts w:ascii="Georgia" w:cs="Georgia" w:eastAsia="Georgia" w:hAnsi="Georgia"/>
          <w:i/>
          <w:iCs/>
          <w:color w:val="1B2A41"/>
          <w:sz w:val="24"/>
          <w:szCs w:val="24"/>
        </w:rPr>
        <w:t xml:space="preserve">Nothing here claims that a story cures a disease. What the trials show is that story is a clinical variable: measurable, repeatable, and almost entirely unmanaged.</w:t>
      </w:r>
    </w:p>
    <w:p>
      <w:pPr>
        <w:spacing w:after="0"/>
      </w:pPr>
      <w:r>
        <w:rPr>
          <w:rFonts w:ascii="Helvetica Neue" w:cs="Helvetica Neue" w:eastAsia="Helvetica Neue" w:hAnsi="Helvetica Neue"/>
          <w:color w:val="5C6B7A"/>
          <w:sz w:val="18"/>
          <w:szCs w:val="18"/>
        </w:rPr>
        <w:t xml:space="preserve">Ritual Ads is a cinematic intelligence studio, powered by Ritual Engine.</w:t>
      </w:r>
    </w:p>
    <w:p>
      <w:pPr>
        <w:pStyle w:val="Heading1"/>
        <w:keepNext/>
        <w:pageBreakBefore/>
        <w:spacing w:after="280" w:before="0"/>
      </w:pPr>
      <w:r>
        <w:rPr>
          <w:rFonts w:ascii="Helvetica Neue" w:cs="Helvetica Neue" w:eastAsia="Helvetica Neue" w:hAnsi="Helvetica Neue"/>
          <w:b/>
          <w:bCs/>
          <w:color w:val="1B2A41"/>
          <w:sz w:val="40"/>
          <w:szCs w:val="40"/>
        </w:rPr>
        <w:t xml:space="preserve">Executive Summary</w:t>
      </w:r>
    </w:p>
    <w:p>
      <w:pPr>
        <w:spacing w:after="90" w:line="248"/>
        <w:jc w:val="left"/>
      </w:pPr>
      <w:r>
        <w:rPr>
          <w:rFonts w:ascii="Georgia" w:cs="Georgia" w:eastAsia="Georgia" w:hAnsi="Georgia"/>
          <w:color w:val="1B2A41"/>
          <w:sz w:val="22"/>
          <w:szCs w:val="22"/>
        </w:rPr>
        <w:t xml:space="preserve">Medicine has an evidence base for story. Since Rita Charon named narrative medicine in 2001 and defined its core skill as the ability "to acknowledge, absorb, interpret, and act on the stories and plights of others,"</w:t>
      </w:r>
      <w:r>
        <w:rPr>
          <w:rFonts w:ascii="Georgia" w:cs="Georgia" w:eastAsia="Georgia" w:hAnsi="Georgia"/>
          <w:color w:val="B5432F"/>
          <w:sz w:val="22"/>
          <w:szCs w:val="22"/>
          <w:vertAlign w:val="superscript"/>
        </w:rPr>
        <w:t xml:space="preserve">1</w:t>
      </w:r>
      <w:r>
        <w:rPr>
          <w:rFonts w:ascii="Georgia" w:cs="Georgia" w:eastAsia="Georgia" w:hAnsi="Georgia"/>
          <w:color w:val="1B2A41"/>
          <w:sz w:val="22"/>
          <w:szCs w:val="22"/>
        </w:rPr>
        <w:t xml:space="preserve"> randomized trials have tested whether stories change what happens in bodies and lives. Some do. Patients with uncontrolled hypertension who watched three DVDs of other patients' stories lowered their systolic blood pressure by 11 mm Hg more than controls.</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Asthma patients who wrote about the most stressful experience of their lives improved their lung function from 64 to 76 percent of predicted.</w:t>
      </w:r>
      <w:r>
        <w:rPr>
          <w:rFonts w:ascii="Georgia" w:cs="Georgia" w:eastAsia="Georgia" w:hAnsi="Georgia"/>
          <w:color w:val="B5432F"/>
          <w:sz w:val="22"/>
          <w:szCs w:val="22"/>
          <w:vertAlign w:val="superscript"/>
        </w:rPr>
        <w:t xml:space="preserve">3</w:t>
      </w:r>
      <w:r>
        <w:rPr>
          <w:rFonts w:ascii="Georgia" w:cs="Georgia" w:eastAsia="Georgia" w:hAnsi="Georgia"/>
          <w:color w:val="1B2A41"/>
          <w:sz w:val="22"/>
          <w:szCs w:val="22"/>
        </w:rPr>
        <w:t xml:space="preserve"> Narrative interventions in cancer care reduce anxiety and depression and improve quality of life in pooled analyses of randomized trials.</w:t>
      </w:r>
      <w:r>
        <w:rPr>
          <w:rFonts w:ascii="Georgia" w:cs="Georgia" w:eastAsia="Georgia" w:hAnsi="Georgia"/>
          <w:color w:val="B5432F"/>
          <w:sz w:val="22"/>
          <w:szCs w:val="22"/>
          <w:vertAlign w:val="superscript"/>
        </w:rPr>
        <w:t xml:space="preserve">4</w:t>
      </w:r>
      <w:r>
        <w:rPr>
          <w:rFonts w:ascii="Georgia" w:cs="Georgia" w:eastAsia="Georgia" w:hAnsi="Georgia"/>
          <w:color w:val="B5432F"/>
          <w:sz w:val="22"/>
          <w:szCs w:val="22"/>
          <w:vertAlign w:val="superscript"/>
        </w:rPr>
        <w:t xml:space="preserve">5</w:t>
      </w:r>
      <w:r>
        <w:rPr>
          <w:rFonts w:ascii="Georgia" w:cs="Georgia" w:eastAsia="Georgia" w:hAnsi="Georgia"/>
          <w:color w:val="1B2A41"/>
          <w:sz w:val="22"/>
          <w:szCs w:val="22"/>
        </w:rPr>
        <w:t xml:space="preserve"> None of this cures disease, and this paper says so plainly. What the trials show is that story is a clinical variable: measurable, repeatable, and almost entirely unmanaged.</w:t>
      </w:r>
    </w:p>
    <w:p>
      <w:pPr>
        <w:spacing w:after="90" w:line="248"/>
        <w:jc w:val="left"/>
      </w:pPr>
      <w:r>
        <w:rPr>
          <w:rFonts w:ascii="Georgia" w:cs="Georgia" w:eastAsia="Georgia" w:hAnsi="Georgia"/>
          <w:color w:val="1B2A41"/>
          <w:sz w:val="22"/>
          <w:szCs w:val="22"/>
        </w:rPr>
        <w:t xml:space="preserve">It is unmanaged because no institution owns it. Clinicians interrupt patients after a median of 11 seconds.</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Half of patients with chronic disease do not take their medicine as prescribed.</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Trust in one's own doctor has fallen from 93 to 85 percent in two years,</w:t>
      </w:r>
      <w:r>
        <w:rPr>
          <w:rFonts w:ascii="Georgia" w:cs="Georgia" w:eastAsia="Georgia" w:hAnsi="Georgia"/>
          <w:color w:val="B5432F"/>
          <w:sz w:val="22"/>
          <w:szCs w:val="22"/>
          <w:vertAlign w:val="superscript"/>
        </w:rPr>
        <w:t xml:space="preserve">8</w:t>
      </w:r>
      <w:r>
        <w:rPr>
          <w:rFonts w:ascii="Georgia" w:cs="Georgia" w:eastAsia="Georgia" w:hAnsi="Georgia"/>
          <w:color w:val="1B2A41"/>
          <w:sz w:val="22"/>
          <w:szCs w:val="22"/>
        </w:rPr>
        <w:t xml:space="preserve"> while 63 percent of Americans now consider AI-generated health information reliable.</w:t>
      </w:r>
      <w:r>
        <w:rPr>
          <w:rFonts w:ascii="Georgia" w:cs="Georgia" w:eastAsia="Georgia" w:hAnsi="Georgia"/>
          <w:color w:val="B5432F"/>
          <w:sz w:val="22"/>
          <w:szCs w:val="22"/>
          <w:vertAlign w:val="superscript"/>
        </w:rPr>
        <w:t xml:space="preserve">9</w:t>
      </w:r>
      <w:r>
        <w:rPr>
          <w:rFonts w:ascii="Georgia" w:cs="Georgia" w:eastAsia="Georgia" w:hAnsi="Georgia"/>
          <w:color w:val="1B2A41"/>
          <w:sz w:val="22"/>
          <w:szCs w:val="22"/>
        </w:rPr>
        <w:t xml:space="preserve"> Health brands, hospitals, and public health agencies spend more than $10 billion a year in the United States on advertising alone,</w:t>
      </w:r>
      <w:r>
        <w:rPr>
          <w:rFonts w:ascii="Georgia" w:cs="Georgia" w:eastAsia="Georgia" w:hAnsi="Georgia"/>
          <w:color w:val="B5432F"/>
          <w:sz w:val="22"/>
          <w:szCs w:val="22"/>
          <w:vertAlign w:val="superscript"/>
        </w:rPr>
        <w:t xml:space="preserve">10</w:t>
      </w:r>
      <w:r>
        <w:rPr>
          <w:rFonts w:ascii="Georgia" w:cs="Georgia" w:eastAsia="Georgia" w:hAnsi="Georgia"/>
          <w:color w:val="1B2A41"/>
          <w:sz w:val="22"/>
          <w:szCs w:val="22"/>
        </w:rPr>
        <w:t xml:space="preserve"> and the stories they tell are made by the same fragmenting institutions the companion paper on the Cinematic Intelligence Studio describes: agencies, production companies, and tool vendors, each holding a piece and none accountable for the outcome.</w:t>
      </w:r>
    </w:p>
    <w:p>
      <w:pPr>
        <w:keepNext/>
        <w:spacing w:after="20" w:before="80"/>
        <w:jc w:val="center"/>
      </w:pPr>
      <w:r>
        <w:drawing>
          <wp:inline distT="0" distB="0" distL="0" distR="0">
            <wp:extent cx="3810000" cy="1781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10000" cy="1781175"/>
                    </a:xfrm>
                    <a:prstGeom prst="rect">
                      <a:avLst/>
                    </a:prstGeom>
                  </pic:spPr>
                </pic:pic>
              </a:graphicData>
            </a:graphic>
          </wp:inline>
        </w:drawing>
      </w:r>
    </w:p>
    <w:p>
      <w:pPr>
        <w:spacing w:after="120"/>
        <w:ind w:left="360" w:right="360"/>
        <w:jc w:val="left"/>
      </w:pPr>
      <w:r>
        <w:rPr>
          <w:rFonts w:ascii="Helvetica Neue" w:cs="Helvetica Neue" w:eastAsia="Helvetica Neue" w:hAnsi="Helvetica Neue"/>
          <w:i/>
          <w:iCs/>
          <w:color w:val="5C6B7A"/>
          <w:sz w:val="18"/>
          <w:szCs w:val="18"/>
        </w:rPr>
        <w:t xml:space="preserve">Figure A. The Narrative Intelligence Studio in one view. The craft of story in motion, a persistent intelligence about the people it serves and what has worked for them, and a governed operating model accountable from brief to outcome.</w:t>
      </w:r>
    </w:p>
    <w:p>
      <w:pPr>
        <w:spacing w:after="90" w:line="248"/>
        <w:jc w:val="left"/>
      </w:pPr>
      <w:r>
        <w:rPr>
          <w:rFonts w:ascii="Georgia" w:cs="Georgia" w:eastAsia="Georgia" w:hAnsi="Georgia"/>
          <w:color w:val="1B2A41"/>
          <w:sz w:val="22"/>
          <w:szCs w:val="22"/>
        </w:rPr>
        <w:t xml:space="preserve">This paper defines the institution that owns it. A Narrative Intelligence Studio is a Cinematic Intelligence Studio built for outcomes in health and wellbeing: it makes cinematic narrative through a persistent, governed intelligence, and it is accountable for what the narrative does to the people who receive it. Narrative names the craft, drawn from a century of film and two decades of narrative medicine. Intelligence names what the studio knows: the people, the craft, the record of consent and review, and the outcome. Studio names the institution that makes, governs, and repeats, inside the rules that govern health communication. The paper closes with the Lucas Museum of Narrative Art, which opens in Los Angeles this month on the premise that "narrative art tells the story of a society,"</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and with what that premise means for a studio that tells stories to people who are sick, afraid, or trying to change.</w:t>
      </w:r>
    </w:p>
    <w:p>
      <w:pPr>
        <w:pageBreakBefore/>
        <w:spacing w:after="280"/>
      </w:pPr>
      <w:r>
        <w:rPr>
          <w:rFonts w:ascii="Helvetica Neue" w:cs="Helvetica Neue" w:eastAsia="Helvetica Neue" w:hAnsi="Helvetica Neue"/>
          <w:b/>
          <w:bCs/>
          <w:color w:val="1B2A41"/>
          <w:sz w:val="40"/>
          <w:szCs w:val="4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Style w:val="Heading1"/>
        <w:keepNext/>
        <w:pageBreakBefore/>
        <w:spacing w:after="280" w:before="0"/>
      </w:pPr>
      <w:r>
        <w:rPr>
          <w:rFonts w:ascii="Helvetica Neue" w:cs="Helvetica Neue" w:eastAsia="Helvetica Neue" w:hAnsi="Helvetica Neue"/>
          <w:b/>
          <w:bCs/>
          <w:color w:val="1B2A41"/>
          <w:sz w:val="40"/>
          <w:szCs w:val="40"/>
        </w:rPr>
        <w:t xml:space="preserve">1. The Problem: Medicine Lost the Story</w:t>
      </w:r>
    </w:p>
    <w:p>
      <w:pPr>
        <w:spacing w:after="160" w:line="300"/>
        <w:jc w:val="left"/>
      </w:pPr>
      <w:r>
        <w:rPr>
          <w:rFonts w:ascii="Georgia" w:cs="Georgia" w:eastAsia="Georgia" w:hAnsi="Georgia"/>
          <w:color w:val="1B2A41"/>
          <w:sz w:val="22"/>
          <w:szCs w:val="22"/>
        </w:rPr>
        <w:t xml:space="preserve">Medicine began as a story told by a patient to someone who listened. It has become an encounter in which the listening is the first thing cut. In a study of 112 recorded clinical visits, clinicians asked about the patient's concerns in 36 percent of encounters, and when they did, they interrupted after a median of 11 seconds. Patients who were allowed to finish took six seconds to state their concern.</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The story was never long. It was simply not heard.</w:t>
      </w:r>
    </w:p>
    <w:p>
      <w:pPr>
        <w:spacing w:after="160" w:line="300"/>
        <w:jc w:val="left"/>
      </w:pPr>
      <w:r>
        <w:rPr>
          <w:rFonts w:ascii="Georgia" w:cs="Georgia" w:eastAsia="Georgia" w:hAnsi="Georgia"/>
          <w:color w:val="1B2A41"/>
          <w:sz w:val="22"/>
          <w:szCs w:val="22"/>
        </w:rPr>
        <w:t xml:space="preserve">The costs of not hearing are measurable at every scale. The World Health Organization's landmark review found that adherence to long-term therapies in developed countries averages 50 percent,</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which means that half of everything medicine prescribes for chronic disease is not taken, and no molecule can work in a body it never enters. Physicians are burning out: 45 percent reported at least one symptom of burnout in 2023, an improvement from 63 percent at the height of the pandemic, and still nearly twice the odds of other American workers.</w:t>
      </w:r>
      <w:r>
        <w:rPr>
          <w:rFonts w:ascii="Georgia" w:cs="Georgia" w:eastAsia="Georgia" w:hAnsi="Georgia"/>
          <w:color w:val="B5432F"/>
          <w:sz w:val="22"/>
          <w:szCs w:val="22"/>
          <w:vertAlign w:val="superscript"/>
        </w:rPr>
        <w:t xml:space="preserve">12</w:t>
      </w:r>
      <w:r>
        <w:rPr>
          <w:rFonts w:ascii="Georgia" w:cs="Georgia" w:eastAsia="Georgia" w:hAnsi="Georgia"/>
          <w:color w:val="1B2A41"/>
          <w:sz w:val="22"/>
          <w:szCs w:val="22"/>
        </w:rPr>
        <w:t xml:space="preserve"> The systematic review of narrative medicine training programs found that the outcomes participants report most often are empathy, perspective-taking, resilience, and burnout mitigation,</w:t>
      </w:r>
      <w:r>
        <w:rPr>
          <w:rFonts w:ascii="Georgia" w:cs="Georgia" w:eastAsia="Georgia" w:hAnsi="Georgia"/>
          <w:color w:val="B5432F"/>
          <w:sz w:val="22"/>
          <w:szCs w:val="22"/>
          <w:vertAlign w:val="superscript"/>
        </w:rPr>
        <w:t xml:space="preserve">13</w:t>
      </w:r>
      <w:r>
        <w:rPr>
          <w:rFonts w:ascii="Georgia" w:cs="Georgia" w:eastAsia="Georgia" w:hAnsi="Georgia"/>
          <w:color w:val="1B2A41"/>
          <w:sz w:val="22"/>
          <w:szCs w:val="22"/>
        </w:rPr>
        <w:t xml:space="preserve"> which is to say that the skill medicine has cut is the one its practitioners say they need.</w:t>
      </w:r>
    </w:p>
    <w:p>
      <w:pPr>
        <w:spacing w:after="160" w:line="300"/>
        <w:jc w:val="left"/>
      </w:pPr>
      <w:r>
        <w:rPr>
          <w:rFonts w:ascii="Georgia" w:cs="Georgia" w:eastAsia="Georgia" w:hAnsi="Georgia"/>
          <w:color w:val="1B2A41"/>
          <w:sz w:val="22"/>
          <w:szCs w:val="22"/>
        </w:rPr>
        <w:t xml:space="preserve">Outside the clinic, the story is being told by everyone except the people responsible for the truth of it. Ninety-six percent of American adults have encountered at least one of ten false health claims tested by KFF,</w:t>
      </w:r>
      <w:r>
        <w:rPr>
          <w:rFonts w:ascii="Georgia" w:cs="Georgia" w:eastAsia="Georgia" w:hAnsi="Georgia"/>
          <w:color w:val="B5432F"/>
          <w:sz w:val="22"/>
          <w:szCs w:val="22"/>
          <w:vertAlign w:val="superscript"/>
        </w:rPr>
        <w:t xml:space="preserve">14</w:t>
      </w:r>
      <w:r>
        <w:rPr>
          <w:rFonts w:ascii="Georgia" w:cs="Georgia" w:eastAsia="Georgia" w:hAnsi="Georgia"/>
          <w:color w:val="1B2A41"/>
          <w:sz w:val="22"/>
          <w:szCs w:val="22"/>
        </w:rPr>
        <w:t xml:space="preserve"> and a third of parents believe the false claim that the MMR vaccine causes autism is probably or definitely true.</w:t>
      </w:r>
      <w:r>
        <w:rPr>
          <w:rFonts w:ascii="Georgia" w:cs="Georgia" w:eastAsia="Georgia" w:hAnsi="Georgia"/>
          <w:color w:val="B5432F"/>
          <w:sz w:val="22"/>
          <w:szCs w:val="22"/>
          <w:vertAlign w:val="superscript"/>
        </w:rPr>
        <w:t xml:space="preserve">15</w:t>
      </w:r>
      <w:r>
        <w:rPr>
          <w:rFonts w:ascii="Georgia" w:cs="Georgia" w:eastAsia="Georgia" w:hAnsi="Georgia"/>
          <w:color w:val="1B2A41"/>
          <w:sz w:val="22"/>
          <w:szCs w:val="22"/>
        </w:rPr>
        <w:t xml:space="preserve"> Trust in one's own doctor, still the most trusted source, fell from 93 percent in 2023 to 85 percent in 2025, and trust in the CDC and FDA fell further.</w:t>
      </w:r>
      <w:r>
        <w:rPr>
          <w:rFonts w:ascii="Georgia" w:cs="Georgia" w:eastAsia="Georgia" w:hAnsi="Georgia"/>
          <w:color w:val="B5432F"/>
          <w:sz w:val="22"/>
          <w:szCs w:val="22"/>
          <w:vertAlign w:val="superscript"/>
        </w:rPr>
        <w:t xml:space="preserve">8</w:t>
      </w:r>
      <w:r>
        <w:rPr>
          <w:rFonts w:ascii="Georgia" w:cs="Georgia" w:eastAsia="Georgia" w:hAnsi="Georgia"/>
          <w:color w:val="1B2A41"/>
          <w:sz w:val="22"/>
          <w:szCs w:val="22"/>
        </w:rPr>
        <w:t xml:space="preserve"> Nearly six in ten people across sixteen countries regret a health decision made on misinformation, 45 percent of young people say they disregarded their provider's advice in favor of friends or family in the past year, and young people are twice as likely as their elders to believe that someone who has "done their research" knows as much as a doctor.</w:t>
      </w:r>
      <w:r>
        <w:rPr>
          <w:rFonts w:ascii="Georgia" w:cs="Georgia" w:eastAsia="Georgia" w:hAnsi="Georgia"/>
          <w:color w:val="B5432F"/>
          <w:sz w:val="22"/>
          <w:szCs w:val="22"/>
          <w:vertAlign w:val="superscript"/>
        </w:rPr>
        <w:t xml:space="preserve">16</w:t>
      </w:r>
      <w:r>
        <w:rPr>
          <w:rFonts w:ascii="Georgia" w:cs="Georgia" w:eastAsia="Georgia" w:hAnsi="Georgia"/>
          <w:color w:val="1B2A41"/>
          <w:sz w:val="22"/>
          <w:szCs w:val="22"/>
        </w:rPr>
        <w:t xml:space="preserve"> Lived experience has become a credential. That is the environment in which health stories now compete.</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story was never long. Patients who are allowed to finish take six seconds. Clinicians interrupt at eleven.</w:t>
      </w:r>
    </w:p>
    <w:p>
      <w:pPr>
        <w:spacing w:after="160" w:line="300"/>
        <w:jc w:val="left"/>
      </w:pPr>
      <w:r>
        <w:rPr>
          <w:rFonts w:ascii="Georgia" w:cs="Georgia" w:eastAsia="Georgia" w:hAnsi="Georgia"/>
          <w:color w:val="1B2A41"/>
          <w:sz w:val="22"/>
          <w:szCs w:val="22"/>
        </w:rPr>
        <w:t xml:space="preserve">Into this environment has come AI. Sixty-three percent of Americans consider AI-generated health information reliable, and 65 percent of people who search online for health information have seen AI answers at the top of the results.</w:t>
      </w:r>
      <w:r>
        <w:rPr>
          <w:rFonts w:ascii="Georgia" w:cs="Georgia" w:eastAsia="Georgia" w:hAnsi="Georgia"/>
          <w:color w:val="B5432F"/>
          <w:sz w:val="22"/>
          <w:szCs w:val="22"/>
          <w:vertAlign w:val="superscript"/>
        </w:rPr>
        <w:t xml:space="preserve">9</w:t>
      </w:r>
      <w:r>
        <w:rPr>
          <w:rFonts w:ascii="Georgia" w:cs="Georgia" w:eastAsia="Georgia" w:hAnsi="Georgia"/>
          <w:color w:val="1B2A41"/>
          <w:sz w:val="22"/>
          <w:szCs w:val="22"/>
        </w:rPr>
        <w:t xml:space="preserve"> Sixty percent say they would be uncomfortable if their own provider relied on AI in their care.</w:t>
      </w:r>
      <w:r>
        <w:rPr>
          <w:rFonts w:ascii="Georgia" w:cs="Georgia" w:eastAsia="Georgia" w:hAnsi="Georgia"/>
          <w:color w:val="B5432F"/>
          <w:sz w:val="22"/>
          <w:szCs w:val="22"/>
          <w:vertAlign w:val="superscript"/>
        </w:rPr>
        <w:t xml:space="preserve">17</w:t>
      </w:r>
      <w:r>
        <w:rPr>
          <w:rFonts w:ascii="Georgia" w:cs="Georgia" w:eastAsia="Georgia" w:hAnsi="Georgia"/>
          <w:color w:val="1B2A41"/>
          <w:sz w:val="22"/>
          <w:szCs w:val="22"/>
        </w:rPr>
        <w:t xml:space="preserve"> The public will read a machine's health story and distrust a machine's medicine, and both instincts are rational. Meanwhile the digital tools built to carry health behavior are abandoned almost as soon as they are opened. Across 93 mental health apps with at least 10,000 installs, the median thirty-day retention rate was 3.3 percent.</w:t>
      </w:r>
      <w:r>
        <w:rPr>
          <w:rFonts w:ascii="Georgia" w:cs="Georgia" w:eastAsia="Georgia" w:hAnsi="Georgia"/>
          <w:color w:val="B5432F"/>
          <w:sz w:val="22"/>
          <w:szCs w:val="22"/>
          <w:vertAlign w:val="superscript"/>
        </w:rPr>
        <w:t xml:space="preserve">18</w:t>
      </w:r>
      <w:r>
        <w:rPr>
          <w:rFonts w:ascii="Georgia" w:cs="Georgia" w:eastAsia="Georgia" w:hAnsi="Georgia"/>
          <w:color w:val="1B2A41"/>
          <w:sz w:val="22"/>
          <w:szCs w:val="22"/>
        </w:rPr>
        <w:t xml:space="preserve"> Adherence to apps for chronic disease averages 56 percent, and the factors that raise it are personalization, timely reminders, and "personal support complementary to the digital intervention."</w:t>
      </w:r>
      <w:r>
        <w:rPr>
          <w:rFonts w:ascii="Georgia" w:cs="Georgia" w:eastAsia="Georgia" w:hAnsi="Georgia"/>
          <w:color w:val="B5432F"/>
          <w:sz w:val="22"/>
          <w:szCs w:val="22"/>
          <w:vertAlign w:val="superscript"/>
        </w:rPr>
        <w:t xml:space="preserve">19</w:t>
      </w:r>
      <w:r>
        <w:rPr>
          <w:rFonts w:ascii="Georgia" w:cs="Georgia" w:eastAsia="Georgia" w:hAnsi="Georgia"/>
          <w:color w:val="1B2A41"/>
          <w:sz w:val="22"/>
          <w:szCs w:val="22"/>
        </w:rPr>
        <w:t xml:space="preserve"> The machine needs a human story to keep a human engaged.</w:t>
      </w:r>
    </w:p>
    <w:p>
      <w:pPr>
        <w:spacing w:after="160" w:line="300"/>
        <w:jc w:val="left"/>
      </w:pPr>
      <w:r>
        <w:rPr>
          <w:rFonts w:ascii="Georgia" w:cs="Georgia" w:eastAsia="Georgia" w:hAnsi="Georgia"/>
          <w:color w:val="1B2A41"/>
          <w:sz w:val="22"/>
          <w:szCs w:val="22"/>
        </w:rPr>
        <w:t xml:space="preserve">Three institutions hold the pieces. Medicine holds the science and has cut the story. Health marketing holds the story and is regulated for good reason: the FDA's 2025 enforcement action cited research finding that 100 percent of pharmaceutical social posts highlight benefits while 33 percent mention harms.</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The tool vendor holds the generator and knows nothing about the person on the other side of the screen. Nobody holds the whole.</w:t>
      </w:r>
    </w:p>
    <w:p>
      <w:pPr>
        <w:pStyle w:val="Heading1"/>
        <w:keepNext/>
        <w:spacing w:after="280" w:before="520"/>
      </w:pPr>
      <w:r>
        <w:rPr>
          <w:rFonts w:ascii="Helvetica Neue" w:cs="Helvetica Neue" w:eastAsia="Helvetica Neue" w:hAnsi="Helvetica Neue"/>
          <w:b/>
          <w:bCs/>
          <w:color w:val="1B2A41"/>
          <w:sz w:val="40"/>
          <w:szCs w:val="40"/>
        </w:rPr>
        <w:t xml:space="preserve">2. Three Words</w:t>
      </w:r>
    </w:p>
    <w:p>
      <w:pPr>
        <w:spacing w:after="160" w:line="300"/>
        <w:jc w:val="left"/>
      </w:pPr>
      <w:r>
        <w:rPr>
          <w:rFonts w:ascii="Georgia" w:cs="Georgia" w:eastAsia="Georgia" w:hAnsi="Georgia"/>
          <w:color w:val="1B2A41"/>
          <w:sz w:val="22"/>
          <w:szCs w:val="22"/>
        </w:rPr>
        <w:t xml:space="preserve">The name is the definition, and it is built on the companion definition of a Cinematic Intelligence Studio: an institution that makes cinematic commercial creative through a persistent, governed intelligence, accountable from brief to performance. A Narrative Intelligence Studio is that institution turned toward a different result. Performance becomes outcome. The brand becomes the person.</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2200"/>
        <w:gridCol w:w="3300"/>
        <w:gridCol w:w="3740"/>
      </w:tblGrid>
      <w:tr>
        <w:trPr>
          <w:tblHeader/>
        </w:trPr>
        <w:tc>
          <w:tcPr>
            <w:tcW w:type="dxa" w:w="22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Word</w:t>
            </w:r>
          </w:p>
        </w:tc>
        <w:tc>
          <w:tcPr>
            <w:tcW w:type="dxa" w:w="33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What it names</w:t>
            </w:r>
          </w:p>
        </w:tc>
        <w:tc>
          <w:tcPr>
            <w:tcW w:type="dxa" w:w="37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What it replaces</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Narrative</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craft of story in motion, held to the standard of narrative medicine: acknowledge, absorb, interpret, act</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Health content that informs without being heard</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Intelligence</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A persistent, governed memory of the people served, the craft, the record of consent and review, and the outcome</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Institutional memory that lived in clinicians, agencies, and apps, separately</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Studio</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One accountable institution from brief to outcome, inside the rules of health communication, governing generation models as instruments</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handoffs between medicine, marketing, and tools</w:t>
            </w:r>
          </w:p>
        </w:tc>
      </w:tr>
    </w:tbl>
    <w:p>
      <w:pPr>
        <w:spacing w:after="200"/>
      </w:pPr>
    </w:p>
    <w:p>
      <w:pPr>
        <w:spacing w:after="160" w:line="300"/>
        <w:jc w:val="left"/>
      </w:pPr>
      <w:r>
        <w:rPr>
          <w:rFonts w:ascii="Georgia" w:cs="Georgia" w:eastAsia="Georgia" w:hAnsi="Georgia"/>
          <w:b/>
          <w:bCs/>
          <w:color w:val="1B2A41"/>
          <w:sz w:val="22"/>
          <w:szCs w:val="22"/>
        </w:rPr>
        <w:t xml:space="preserve">Narrative.</w:t>
      </w:r>
      <w:r>
        <w:rPr>
          <w:rFonts w:ascii="Georgia" w:cs="Georgia" w:eastAsia="Georgia" w:hAnsi="Georgia"/>
          <w:color w:val="1B2A41"/>
          <w:sz w:val="22"/>
          <w:szCs w:val="22"/>
        </w:rPr>
        <w:t xml:space="preserve"> The word is chosen against "content" and against "messaging." Content fills a slot. Messaging tells a person what to do. Narrative is what a person can enter, and the entering is the mechanism: the psychological literature calls it transportation, "a combination of attention, imagery, and feelings, in which an individual becomes immersed in a narrative world,"</w:t>
      </w:r>
      <w:r>
        <w:rPr>
          <w:rFonts w:ascii="Georgia" w:cs="Georgia" w:eastAsia="Georgia" w:hAnsi="Georgia"/>
          <w:color w:val="B5432F"/>
          <w:sz w:val="22"/>
          <w:szCs w:val="22"/>
          <w:vertAlign w:val="superscript"/>
        </w:rPr>
        <w:t xml:space="preserve">21</w:t>
      </w:r>
      <w:r>
        <w:rPr>
          <w:rFonts w:ascii="Georgia" w:cs="Georgia" w:eastAsia="Georgia" w:hAnsi="Georgia"/>
          <w:color w:val="1B2A41"/>
          <w:sz w:val="22"/>
          <w:szCs w:val="22"/>
        </w:rPr>
        <w:t xml:space="preserve"> and the trials show that transported audiences change what they believe and do.</w:t>
      </w:r>
    </w:p>
    <w:p>
      <w:pPr>
        <w:spacing w:after="160" w:line="300"/>
        <w:jc w:val="left"/>
      </w:pPr>
      <w:r>
        <w:rPr>
          <w:rFonts w:ascii="Georgia" w:cs="Georgia" w:eastAsia="Georgia" w:hAnsi="Georgia"/>
          <w:b/>
          <w:bCs/>
          <w:color w:val="1B2A41"/>
          <w:sz w:val="22"/>
          <w:szCs w:val="22"/>
        </w:rPr>
        <w:t xml:space="preserve">Intelligence.</w:t>
      </w:r>
      <w:r>
        <w:rPr>
          <w:rFonts w:ascii="Georgia" w:cs="Georgia" w:eastAsia="Georgia" w:hAnsi="Georgia"/>
          <w:color w:val="1B2A41"/>
          <w:sz w:val="22"/>
          <w:szCs w:val="22"/>
        </w:rPr>
        <w:t xml:space="preserve"> The word has a history in this exact territory. "Narrative intelligence" was coined by David Blair and Tom Meyer in 1997 in a paper on tools for interactive cinema, adopted by Michael Mateas and Phoebe Sengers for a 1999 symposium as "this human ability to organize experience into narrative form," and defined in their 2003 volume as "the confluence of narrative, Artificial Intelligence, and media studies."</w:t>
      </w:r>
      <w:r>
        <w:rPr>
          <w:rFonts w:ascii="Georgia" w:cs="Georgia" w:eastAsia="Georgia" w:hAnsi="Georgia"/>
          <w:color w:val="B5432F"/>
          <w:sz w:val="22"/>
          <w:szCs w:val="22"/>
          <w:vertAlign w:val="superscript"/>
        </w:rPr>
        <w:t xml:space="preserve">22</w:t>
      </w:r>
      <w:r>
        <w:rPr>
          <w:rFonts w:ascii="Georgia" w:cs="Georgia" w:eastAsia="Georgia" w:hAnsi="Georgia"/>
          <w:color w:val="B5432F"/>
          <w:sz w:val="22"/>
          <w:szCs w:val="22"/>
          <w:vertAlign w:val="superscript"/>
        </w:rPr>
        <w:t xml:space="preserve">23</w:t>
      </w:r>
      <w:r>
        <w:rPr>
          <w:rFonts w:ascii="Georgia" w:cs="Georgia" w:eastAsia="Georgia" w:hAnsi="Georgia"/>
          <w:color w:val="B5432F"/>
          <w:sz w:val="22"/>
          <w:szCs w:val="22"/>
          <w:vertAlign w:val="superscript"/>
        </w:rPr>
        <w:t xml:space="preserve">24</w:t>
      </w:r>
      <w:r>
        <w:rPr>
          <w:rFonts w:ascii="Georgia" w:cs="Georgia" w:eastAsia="Georgia" w:hAnsi="Georgia"/>
          <w:color w:val="1B2A41"/>
          <w:sz w:val="22"/>
          <w:szCs w:val="22"/>
        </w:rPr>
        <w:t xml:space="preserve"> The studio adopts the term and adds the part the academics left open: an intelligence that is specific to the people it serves, and that learns from what happens to them.</w:t>
      </w:r>
    </w:p>
    <w:p>
      <w:pPr>
        <w:spacing w:after="160" w:line="300"/>
        <w:jc w:val="left"/>
      </w:pPr>
      <w:r>
        <w:rPr>
          <w:rFonts w:ascii="Georgia" w:cs="Georgia" w:eastAsia="Georgia" w:hAnsi="Georgia"/>
          <w:b/>
          <w:bCs/>
          <w:color w:val="1B2A41"/>
          <w:sz w:val="22"/>
          <w:szCs w:val="22"/>
        </w:rPr>
        <w:t xml:space="preserve">Studio.</w:t>
      </w:r>
      <w:r>
        <w:rPr>
          <w:rFonts w:ascii="Georgia" w:cs="Georgia" w:eastAsia="Georgia" w:hAnsi="Georgia"/>
          <w:color w:val="1B2A41"/>
          <w:sz w:val="22"/>
          <w:szCs w:val="22"/>
        </w:rPr>
        <w:t xml:space="preserve"> The word is chosen against "agency," "vendor," "app," and "program." A studio makes the work, owns the means of making it, and answers for the result. In health, the result is a measurable change in a person, and the accountability is regulated.</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Content fills a slot. Messaging tells a person what to do. Narrative is what a person can enter.</w:t>
      </w:r>
    </w:p>
    <w:p>
      <w:pPr>
        <w:pStyle w:val="Heading1"/>
        <w:keepNext/>
        <w:spacing w:after="280" w:before="520"/>
      </w:pPr>
      <w:r>
        <w:rPr>
          <w:rFonts w:ascii="Helvetica Neue" w:cs="Helvetica Neue" w:eastAsia="Helvetica Neue" w:hAnsi="Helvetica Neue"/>
          <w:b/>
          <w:bCs/>
          <w:color w:val="1B2A41"/>
          <w:sz w:val="40"/>
          <w:szCs w:val="40"/>
        </w:rPr>
        <w:t xml:space="preserve">3. What a Narrative Intelligence Studio Is</w:t>
      </w:r>
    </w:p>
    <w:p>
      <w:pPr>
        <w:pStyle w:val="Heading2"/>
        <w:keepNext/>
        <w:spacing w:after="120" w:before="280"/>
      </w:pPr>
      <w:r>
        <w:rPr>
          <w:rFonts w:ascii="Helvetica Neue" w:cs="Helvetica Neue" w:eastAsia="Helvetica Neue" w:hAnsi="Helvetica Neue"/>
          <w:b/>
          <w:bCs/>
          <w:color w:val="B5432F"/>
          <w:sz w:val="26"/>
          <w:szCs w:val="26"/>
        </w:rPr>
        <w:t xml:space="preserve">Definition</w:t>
      </w:r>
    </w:p>
    <w:p>
      <w:pPr>
        <w:spacing w:after="160" w:line="300"/>
        <w:jc w:val="left"/>
      </w:pPr>
      <w:r>
        <w:rPr>
          <w:rFonts w:ascii="Georgia" w:cs="Georgia" w:eastAsia="Georgia" w:hAnsi="Georgia"/>
          <w:color w:val="1B2A41"/>
          <w:sz w:val="22"/>
          <w:szCs w:val="22"/>
        </w:rPr>
        <w:t xml:space="preserve">A Narrative Intelligence Studio (NIS) is an institution that produces cinematic narrative for measurable outcomes in health and wellbeing through a persistent, governed intelligence rather than through conventional production alone. It holds three capacities in one place: the craft of story in motion, held to the standard of narrative medicine; a persistent intelligence that encodes the people it serves, the craft, the record of consent, medical review, and disclosure, and the outcomes attributed to each narrative decision; and an operating model that carries a brief from clinical or brand intent through generation, review, and delivery to measured outcome, inside the rules that govern health communication. It treats generation models as interchangeable instruments. It is human-directed at every decision that matters, AI-assisted wherever assistance is possible, and controlled by the institution accountable for the person's care or trust.</w:t>
      </w:r>
    </w:p>
    <w:p>
      <w:pPr>
        <w:pStyle w:val="Heading2"/>
        <w:keepNext/>
        <w:spacing w:after="120" w:before="280"/>
      </w:pPr>
      <w:r>
        <w:rPr>
          <w:rFonts w:ascii="Helvetica Neue" w:cs="Helvetica Neue" w:eastAsia="Helvetica Neue" w:hAnsi="Helvetica Neue"/>
          <w:b/>
          <w:bCs/>
          <w:color w:val="B5432F"/>
          <w:sz w:val="26"/>
          <w:szCs w:val="26"/>
        </w:rPr>
        <w:t xml:space="preserve">What it is not</w:t>
      </w:r>
    </w:p>
    <w:p>
      <w:pPr>
        <w:spacing w:after="160" w:line="300"/>
        <w:jc w:val="left"/>
      </w:pPr>
      <w:r>
        <w:rPr>
          <w:rFonts w:ascii="Georgia" w:cs="Georgia" w:eastAsia="Georgia" w:hAnsi="Georgia"/>
          <w:color w:val="1B2A41"/>
          <w:sz w:val="22"/>
          <w:szCs w:val="22"/>
        </w:rPr>
        <w:t xml:space="preserve">A Narrative Intelligence Studio is not a medical practice and does not deliver care. It is not therapy, though it draws on the evidence that narrative interventions relieve distress. It is not a health advertising agency, which holds the message and outsources the craft and the outcome. It is not a medical communications firm, which holds the science and rarely the story. It is not a digital health application, which holds the person's attention for a median of thirty days and loses it. And it is not a generator, which can produce a thousand health stories and cannot tell which of them is true, consented, or safe.</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2040"/>
        <w:gridCol w:w="1440"/>
        <w:gridCol w:w="1440"/>
        <w:gridCol w:w="1440"/>
        <w:gridCol w:w="1440"/>
        <w:gridCol w:w="1440"/>
      </w:tblGrid>
      <w:tr>
        <w:trPr>
          <w:tblHeader/>
        </w:trPr>
        <w:tc>
          <w:tcPr>
            <w:tcW w:type="dxa" w:w="20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Capacity</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Health agency</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Medical communications</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Digital health app</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AI tool vendor</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Narrative Intelligence Studio</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Makes cinematic narrative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Outsources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Rarely</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Generates</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Yes</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Holds the person's context</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In people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In science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In data</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In a persistent system</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Governs consent, review, disclosure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Partly</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Yes, for science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Partly</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By design</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Attributes outcomes to narrative decisions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Reports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Sometimes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Writes them back</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Independent of any one model</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n/a</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n/a</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Depends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Yes</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Accountable brief to outcome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the message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accuracy</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engagement</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the output</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the whole</w:t>
            </w:r>
          </w:p>
        </w:tc>
      </w:tr>
    </w:tbl>
    <w:p>
      <w:pPr>
        <w:spacing w:after="200"/>
      </w:pPr>
    </w:p>
    <w:p>
      <w:pPr>
        <w:pStyle w:val="Heading2"/>
        <w:keepNext/>
        <w:spacing w:after="120" w:before="280"/>
      </w:pPr>
      <w:r>
        <w:rPr>
          <w:rFonts w:ascii="Helvetica Neue" w:cs="Helvetica Neue" w:eastAsia="Helvetica Neue" w:hAnsi="Helvetica Neue"/>
          <w:b/>
          <w:bCs/>
          <w:color w:val="B5432F"/>
          <w:sz w:val="26"/>
          <w:szCs w:val="26"/>
        </w:rPr>
        <w:t xml:space="preserve">The studio and the Large Brand Model</w:t>
      </w:r>
    </w:p>
    <w:p>
      <w:pPr>
        <w:spacing w:after="160" w:line="300"/>
        <w:jc w:val="left"/>
      </w:pPr>
      <w:r>
        <w:rPr>
          <w:rFonts w:ascii="Georgia" w:cs="Georgia" w:eastAsia="Georgia" w:hAnsi="Georgia"/>
          <w:color w:val="1B2A41"/>
          <w:sz w:val="22"/>
          <w:szCs w:val="22"/>
        </w:rPr>
        <w:t xml:space="preserve">The intelligence at the center of a Narrative Intelligence Studio is a Large Brand Model built for a health institution: a persistent, model-agnostic intelligence that encodes the institution's voice and visual grammar, its story world, its record of what was approved and refused and under what consent, and what each narrative decision did in the lives of the people who received it. For a hospital system the brand is the system and its clinicians. For a health-coaching application the brand is the coach. For a public health agency the brand is the agency's credibility, which the trust data show is the scarcest asset it has. The architecture is the same. The outcome it is trained on is different.</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generator can produce a thousand health stories and cannot tell which of them is true, consented, or safe.</w:t>
      </w:r>
    </w:p>
    <w:p>
      <w:pPr>
        <w:pStyle w:val="Heading1"/>
        <w:keepNext/>
        <w:spacing w:after="280" w:before="520"/>
      </w:pPr>
      <w:r>
        <w:rPr>
          <w:rFonts w:ascii="Helvetica Neue" w:cs="Helvetica Neue" w:eastAsia="Helvetica Neue" w:hAnsi="Helvetica Neue"/>
          <w:b/>
          <w:bCs/>
          <w:color w:val="1B2A41"/>
          <w:sz w:val="40"/>
          <w:szCs w:val="40"/>
        </w:rPr>
        <w:t xml:space="preserve">4. Narrative: What the Evidence Shows, and What It Does Not</w:t>
      </w:r>
    </w:p>
    <w:p>
      <w:pPr>
        <w:spacing w:after="160" w:line="300"/>
        <w:jc w:val="left"/>
      </w:pPr>
      <w:r>
        <w:rPr>
          <w:rFonts w:ascii="Georgia" w:cs="Georgia" w:eastAsia="Georgia" w:hAnsi="Georgia"/>
          <w:color w:val="1B2A41"/>
          <w:sz w:val="22"/>
          <w:szCs w:val="22"/>
        </w:rPr>
        <w:t xml:space="preserve">This section is the reason the paper exists, and it is written to be checked. Nothing in it claims that a story cures a disease. What the randomized evidence shows is that narrative interventions move measurable outcomes, some of them physiological, most of them psychological and behavioral, with effect sizes that range from small to large depending on the population and the outcome, and with honest failures alongside the successes.</w:t>
      </w:r>
    </w:p>
    <w:p>
      <w:pPr>
        <w:pStyle w:val="Heading2"/>
        <w:keepNext/>
        <w:spacing w:after="120" w:before="280"/>
      </w:pPr>
      <w:r>
        <w:rPr>
          <w:rFonts w:ascii="Helvetica Neue" w:cs="Helvetica Neue" w:eastAsia="Helvetica Neue" w:hAnsi="Helvetica Neue"/>
          <w:b/>
          <w:bCs/>
          <w:color w:val="B5432F"/>
          <w:sz w:val="26"/>
          <w:szCs w:val="26"/>
        </w:rPr>
        <w:t xml:space="preserve">Physiological outcomes</w:t>
      </w:r>
    </w:p>
    <w:p>
      <w:pPr>
        <w:spacing w:after="160" w:line="300"/>
        <w:jc w:val="left"/>
      </w:pPr>
      <w:r>
        <w:rPr>
          <w:rFonts w:ascii="Georgia" w:cs="Georgia" w:eastAsia="Georgia" w:hAnsi="Georgia"/>
          <w:color w:val="1B2A41"/>
          <w:sz w:val="22"/>
          <w:szCs w:val="22"/>
        </w:rPr>
        <w:t xml:space="preserve">In 2011, Houston and colleagues randomized 299 African American patients with hypertension at an inner-city clinic to receive either three DVDs of fellow patients telling their own stories about living with high blood pressure or an attention-control DVD. Among patients whose hypertension was uncontrolled at baseline, systolic pressure fell 11.2 mm Hg further in the story group at three months and diastolic pressure fell 6.4 mm Hg further. Patients whose pressure was already controlled did not differ.</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The stories did what the medication alone had not, for the patients who most needed it.</w:t>
      </w:r>
    </w:p>
    <w:p>
      <w:pPr>
        <w:spacing w:after="160" w:line="300"/>
        <w:jc w:val="left"/>
      </w:pPr>
      <w:r>
        <w:rPr>
          <w:rFonts w:ascii="Georgia" w:cs="Georgia" w:eastAsia="Georgia" w:hAnsi="Georgia"/>
          <w:color w:val="1B2A41"/>
          <w:sz w:val="22"/>
          <w:szCs w:val="22"/>
        </w:rPr>
        <w:t xml:space="preserve">Twelve years earlier, Smyth and colleagues randomized 112 patients with asthma or rheumatoid arthritis to write for twenty minutes on three consecutive days about the most stressful experience of their lives, or about neutral topics. At four months, asthma patients who wrote about stress improved their forced expiratory volume from 63.9 to 76.3 percent of predicted; arthritis patients reduced physician-rated disease severity by 28 percent. Forty-seven percent of the writing group showed clinically relevant improvement against 24 percent of controls.</w:t>
      </w:r>
      <w:r>
        <w:rPr>
          <w:rFonts w:ascii="Georgia" w:cs="Georgia" w:eastAsia="Georgia" w:hAnsi="Georgia"/>
          <w:color w:val="B5432F"/>
          <w:sz w:val="22"/>
          <w:szCs w:val="22"/>
          <w:vertAlign w:val="superscript"/>
        </w:rPr>
        <w:t xml:space="preserve">3</w:t>
      </w:r>
      <w:r>
        <w:rPr>
          <w:rFonts w:ascii="Georgia" w:cs="Georgia" w:eastAsia="Georgia" w:hAnsi="Georgia"/>
          <w:color w:val="1B2A41"/>
          <w:sz w:val="22"/>
          <w:szCs w:val="22"/>
        </w:rPr>
        <w:t xml:space="preserve"> The intervention cost a pen.</w:t>
      </w:r>
    </w:p>
    <w:p>
      <w:pPr>
        <w:pStyle w:val="Heading2"/>
        <w:keepNext/>
        <w:spacing w:after="120" w:before="280"/>
      </w:pPr>
      <w:r>
        <w:rPr>
          <w:rFonts w:ascii="Helvetica Neue" w:cs="Helvetica Neue" w:eastAsia="Helvetica Neue" w:hAnsi="Helvetica Neue"/>
          <w:b/>
          <w:bCs/>
          <w:color w:val="B5432F"/>
          <w:sz w:val="26"/>
          <w:szCs w:val="26"/>
        </w:rPr>
        <w:t xml:space="preserve">Cancer</w:t>
      </w:r>
    </w:p>
    <w:p>
      <w:pPr>
        <w:spacing w:after="160" w:line="300"/>
        <w:jc w:val="left"/>
      </w:pPr>
      <w:r>
        <w:rPr>
          <w:rFonts w:ascii="Georgia" w:cs="Georgia" w:eastAsia="Georgia" w:hAnsi="Georgia"/>
          <w:color w:val="1B2A41"/>
          <w:sz w:val="22"/>
          <w:szCs w:val="22"/>
        </w:rPr>
        <w:t xml:space="preserve">Cancer is where the question is asked most urgently, and where the answer requires the most care. Stanton's randomized trial of expressive writing in early-stage breast cancer found significantly fewer somatic symptoms and fewer medical appointments for cancer-related morbidities at three months.</w:t>
      </w:r>
      <w:r>
        <w:rPr>
          <w:rFonts w:ascii="Georgia" w:cs="Georgia" w:eastAsia="Georgia" w:hAnsi="Georgia"/>
          <w:color w:val="B5432F"/>
          <w:sz w:val="22"/>
          <w:szCs w:val="22"/>
          <w:vertAlign w:val="superscript"/>
        </w:rPr>
        <w:t xml:space="preserve">25</w:t>
      </w:r>
      <w:r>
        <w:rPr>
          <w:rFonts w:ascii="Georgia" w:cs="Georgia" w:eastAsia="Georgia" w:hAnsi="Georgia"/>
          <w:color w:val="1B2A41"/>
          <w:sz w:val="22"/>
          <w:szCs w:val="22"/>
        </w:rPr>
        <w:t xml:space="preserve"> Milbury's larger trial in 277 patients with renal cell carcinoma found significantly lower symptom burden and better physical functioning at ten months, and no effect on fatigue, depression, or sleep.</w:t>
      </w:r>
      <w:r>
        <w:rPr>
          <w:rFonts w:ascii="Georgia" w:cs="Georgia" w:eastAsia="Georgia" w:hAnsi="Georgia"/>
          <w:color w:val="B5432F"/>
          <w:sz w:val="22"/>
          <w:szCs w:val="22"/>
          <w:vertAlign w:val="superscript"/>
        </w:rPr>
        <w:t xml:space="preserve">26</w:t>
      </w:r>
      <w:r>
        <w:rPr>
          <w:rFonts w:ascii="Georgia" w:cs="Georgia" w:eastAsia="Georgia" w:hAnsi="Georgia"/>
          <w:color w:val="1B2A41"/>
          <w:sz w:val="22"/>
          <w:szCs w:val="22"/>
        </w:rPr>
        <w:t xml:space="preserve"> A 2026 meta-analysis of eleven randomized trials of narrative interventions in cancer patients found moderate-quality evidence of large improvements in quality of life and self-efficacy and low-quality evidence of reductions in anxiety and depression, with no effect on fear of recurrence, and its authors called for "a cautious approach to clinical interpretation."</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A 2024 network meta-analysis of 32 trials in gastrointestinal cancer found that narrative nursing significantly reduced anxiety and depression against conventional care,</w:t>
      </w:r>
      <w:r>
        <w:rPr>
          <w:rFonts w:ascii="Georgia" w:cs="Georgia" w:eastAsia="Georgia" w:hAnsi="Georgia"/>
          <w:color w:val="B5432F"/>
          <w:sz w:val="22"/>
          <w:szCs w:val="22"/>
          <w:vertAlign w:val="superscript"/>
        </w:rPr>
        <w:t xml:space="preserve">5</w:t>
      </w:r>
      <w:r>
        <w:rPr>
          <w:rFonts w:ascii="Georgia" w:cs="Georgia" w:eastAsia="Georgia" w:hAnsi="Georgia"/>
          <w:color w:val="1B2A41"/>
          <w:sz w:val="22"/>
          <w:szCs w:val="22"/>
        </w:rPr>
        <w:t xml:space="preserve"> and a 2025 network meta-analysis of 136 trials and 23,154 cancer patients found that narrative interventions, alongside digital cognitive behavioral therapy and virtual reality, significantly improved quality of life.</w:t>
      </w:r>
      <w:r>
        <w:rPr>
          <w:rFonts w:ascii="Georgia" w:cs="Georgia" w:eastAsia="Georgia" w:hAnsi="Georgia"/>
          <w:color w:val="B5432F"/>
          <w:sz w:val="22"/>
          <w:szCs w:val="22"/>
          <w:vertAlign w:val="superscript"/>
        </w:rPr>
        <w:t xml:space="preserve">27</w:t>
      </w:r>
    </w:p>
    <w:p>
      <w:pPr>
        <w:spacing w:after="160" w:line="300"/>
        <w:jc w:val="left"/>
      </w:pPr>
      <w:r>
        <w:rPr>
          <w:rFonts w:ascii="Georgia" w:cs="Georgia" w:eastAsia="Georgia" w:hAnsi="Georgia"/>
          <w:color w:val="1B2A41"/>
          <w:sz w:val="22"/>
          <w:szCs w:val="22"/>
        </w:rPr>
        <w:t xml:space="preserve">The dignity therapy trial is the caution. Chochinov randomized 441 terminally ill patients to dignity therapy, standard palliative care, or client-centered care. On the primary outcome, distress, the three groups did not differ. On the patient-reported secondary outcomes, dignity therapy was significantly more likely to be rated as helpful, to improve quality of life and sense of dignity, to change how families saw and appreciated the patient, and to lessen sadness.</w:t>
      </w:r>
      <w:r>
        <w:rPr>
          <w:rFonts w:ascii="Georgia" w:cs="Georgia" w:eastAsia="Georgia" w:hAnsi="Georgia"/>
          <w:color w:val="B5432F"/>
          <w:sz w:val="22"/>
          <w:szCs w:val="22"/>
          <w:vertAlign w:val="superscript"/>
        </w:rPr>
        <w:t xml:space="preserve">28</w:t>
      </w:r>
      <w:r>
        <w:rPr>
          <w:rFonts w:ascii="Georgia" w:cs="Georgia" w:eastAsia="Georgia" w:hAnsi="Georgia"/>
          <w:color w:val="1B2A41"/>
          <w:sz w:val="22"/>
          <w:szCs w:val="22"/>
        </w:rPr>
        <w:t xml:space="preserve"> A narrative intervention at the end of life did not reduce measured distress and did, by the patients' own account, change how they were seen. Both facts belong in the record.</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1500"/>
        <w:gridCol w:w="1700"/>
        <w:gridCol w:w="1900"/>
        <w:gridCol w:w="2540"/>
        <w:gridCol w:w="1600"/>
      </w:tblGrid>
      <w:tr>
        <w:trPr>
          <w:tblHeader/>
        </w:trPr>
        <w:tc>
          <w:tcPr>
            <w:tcW w:type="dxa" w:w="15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Trial</w:t>
            </w:r>
          </w:p>
        </w:tc>
        <w:tc>
          <w:tcPr>
            <w:tcW w:type="dxa" w:w="17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Population</w:t>
            </w:r>
          </w:p>
        </w:tc>
        <w:tc>
          <w:tcPr>
            <w:tcW w:type="dxa" w:w="19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Narrative intervention</w:t>
            </w:r>
          </w:p>
        </w:tc>
        <w:tc>
          <w:tcPr>
            <w:tcW w:type="dxa" w:w="25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What changed</w:t>
            </w:r>
          </w:p>
        </w:tc>
        <w:tc>
          <w:tcPr>
            <w:tcW w:type="dxa" w:w="16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What did not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Houston 2011</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299 with hypertension</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Three DVDs of patient stories</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Systolic down 11 mm Hg, diastolic down 6 mm Hg in uncontrolled patients</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 effect in controlled patients</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Smyth 1999</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112 with asthma or arthritis</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Expressive writing, 3 days</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Lung function 64 to 76 percent of predicted; arthritis severity down 28 percent</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Stanton 2002</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60 with breast cancer</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Expressive writing, 4 sessions</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Fewer symptoms and fewer medical appointments at 3 months</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Milbury 2014</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277 with kidney cancer</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Expressive writing</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Lower symptom burden, better physical function at 10 months</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Fatigue, depression, sleep unchanged</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Chochinov 2011</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441 terminally ill</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Dignity therapy</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Helpfulness, dignity, family perception, sadness</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Primary outcome, distress, unchanged</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Kreuter 2010</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489 low-income women</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Survivor-story video vs. information video</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Mammography 65 vs. 32 percent among women without a high school diploma</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 overall difference, 49 vs. 40 percent</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Lee 2024</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179 women with HIV, Malawi</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Narrative video vs. plain video vs. print</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Both videos doubled screening uptake over print</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Narrative video no better than plain video</w:t>
            </w:r>
          </w:p>
        </w:tc>
      </w:tr>
      <w:tr>
        <w:trPr>
          <w:tblHeader w:val="false"/>
        </w:trPr>
        <w:tc>
          <w:tcPr>
            <w:tcW w:type="dxa" w:w="150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Çetiner 2026</w:t>
            </w:r>
          </w:p>
        </w:tc>
        <w:tc>
          <w:tcPr>
            <w:tcW w:type="dxa" w:w="17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11 RCTs in cancer</w:t>
            </w:r>
          </w:p>
        </w:tc>
        <w:tc>
          <w:tcPr>
            <w:tcW w:type="dxa" w:w="19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Narrative interventions</w:t>
            </w:r>
          </w:p>
        </w:tc>
        <w:tc>
          <w:tcPr>
            <w:tcW w:type="dxa" w:w="25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Quality of life, self-efficacy, anxiety, depression</w:t>
            </w:r>
          </w:p>
        </w:tc>
        <w:tc>
          <w:tcPr>
            <w:tcW w:type="dxa" w:w="160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Fear of recurrence; authors urge caution</w:t>
            </w:r>
          </w:p>
        </w:tc>
      </w:tr>
    </w:tbl>
    <w:p>
      <w:pPr>
        <w:spacing w:after="200"/>
      </w:pPr>
    </w:p>
    <w:p>
      <w:pPr>
        <w:pStyle w:val="Heading2"/>
        <w:keepNext/>
        <w:spacing w:after="120" w:before="280"/>
      </w:pPr>
      <w:r>
        <w:rPr>
          <w:rFonts w:ascii="Helvetica Neue" w:cs="Helvetica Neue" w:eastAsia="Helvetica Neue" w:hAnsi="Helvetica Neue"/>
          <w:b/>
          <w:bCs/>
          <w:color w:val="B5432F"/>
          <w:sz w:val="26"/>
          <w:szCs w:val="26"/>
        </w:rPr>
        <w:t xml:space="preserve">Behavior</w:t>
      </w:r>
    </w:p>
    <w:p>
      <w:pPr>
        <w:spacing w:after="160" w:line="300"/>
        <w:jc w:val="left"/>
      </w:pPr>
      <w:r>
        <w:rPr>
          <w:rFonts w:ascii="Georgia" w:cs="Georgia" w:eastAsia="Georgia" w:hAnsi="Georgia"/>
          <w:color w:val="1B2A41"/>
          <w:sz w:val="22"/>
          <w:szCs w:val="22"/>
        </w:rPr>
        <w:t xml:space="preserve">Kreuter randomized 489 low-income African American women to a video of breast cancer survivors' stories or an informational video with the same content. Overall, mammography at six months did not differ significantly, 49 against 40 percent. Among women without a high school diploma it doubled, 65 against 32 percent. The narrative video was better liked, enhanced recall, and reduced counterarguing.</w:t>
      </w:r>
      <w:r>
        <w:rPr>
          <w:rFonts w:ascii="Georgia" w:cs="Georgia" w:eastAsia="Georgia" w:hAnsi="Georgia"/>
          <w:color w:val="B5432F"/>
          <w:sz w:val="22"/>
          <w:szCs w:val="22"/>
          <w:vertAlign w:val="superscript"/>
        </w:rPr>
        <w:t xml:space="preserve">29</w:t>
      </w:r>
      <w:r>
        <w:rPr>
          <w:rFonts w:ascii="Georgia" w:cs="Georgia" w:eastAsia="Georgia" w:hAnsi="Georgia"/>
          <w:color w:val="1B2A41"/>
          <w:sz w:val="22"/>
          <w:szCs w:val="22"/>
        </w:rPr>
        <w:t xml:space="preserve"> Murphy's study of 758 women found that a narrative film about cervical cancer outperformed a non-narrative film with identical information on knowledge and attitudes, and that transportation, identification with characters, and emotion each carried part of the effect.</w:t>
      </w:r>
      <w:r>
        <w:rPr>
          <w:rFonts w:ascii="Georgia" w:cs="Georgia" w:eastAsia="Georgia" w:hAnsi="Georgia"/>
          <w:color w:val="B5432F"/>
          <w:sz w:val="22"/>
          <w:szCs w:val="22"/>
          <w:vertAlign w:val="superscript"/>
        </w:rPr>
        <w:t xml:space="preserve">30</w:t>
      </w:r>
      <w:r>
        <w:rPr>
          <w:rFonts w:ascii="Georgia" w:cs="Georgia" w:eastAsia="Georgia" w:hAnsi="Georgia"/>
          <w:color w:val="1B2A41"/>
          <w:sz w:val="22"/>
          <w:szCs w:val="22"/>
        </w:rPr>
        <w:t xml:space="preserve"> A recent pilot in Malawi is the honest counterweight: among women living with HIV, both a narrative video and a plain video roughly doubled cervical screening uptake over printed materials, and the narrative video did no better than the plain one.</w:t>
      </w:r>
      <w:r>
        <w:rPr>
          <w:rFonts w:ascii="Georgia" w:cs="Georgia" w:eastAsia="Georgia" w:hAnsi="Georgia"/>
          <w:color w:val="B5432F"/>
          <w:sz w:val="22"/>
          <w:szCs w:val="22"/>
          <w:vertAlign w:val="superscript"/>
        </w:rPr>
        <w:t xml:space="preserve">31</w:t>
      </w:r>
      <w:r>
        <w:rPr>
          <w:rFonts w:ascii="Georgia" w:cs="Georgia" w:eastAsia="Georgia" w:hAnsi="Georgia"/>
          <w:color w:val="1B2A41"/>
          <w:sz w:val="22"/>
          <w:szCs w:val="22"/>
        </w:rPr>
        <w:t xml:space="preserve"> Video carried the effect. The story, in that setting, did not add to it.</w:t>
      </w:r>
    </w:p>
    <w:p>
      <w:pPr>
        <w:pStyle w:val="Heading2"/>
        <w:keepNext/>
        <w:spacing w:after="120" w:before="280"/>
      </w:pPr>
      <w:r>
        <w:rPr>
          <w:rFonts w:ascii="Helvetica Neue" w:cs="Helvetica Neue" w:eastAsia="Helvetica Neue" w:hAnsi="Helvetica Neue"/>
          <w:b/>
          <w:bCs/>
          <w:color w:val="B5432F"/>
          <w:sz w:val="26"/>
          <w:szCs w:val="26"/>
        </w:rPr>
        <w:t xml:space="preserve">What the whole literature says</w:t>
      </w:r>
    </w:p>
    <w:p>
      <w:pPr>
        <w:spacing w:after="160" w:line="300"/>
        <w:jc w:val="left"/>
      </w:pPr>
      <w:r>
        <w:rPr>
          <w:rFonts w:ascii="Georgia" w:cs="Georgia" w:eastAsia="Georgia" w:hAnsi="Georgia"/>
          <w:color w:val="1B2A41"/>
          <w:sz w:val="22"/>
          <w:szCs w:val="22"/>
        </w:rPr>
        <w:t xml:space="preserve">The pooled estimates are sober. Frattaroli's meta-analysis of 146 randomized studies of expressive writing found a positive, significant, and small average effect.</w:t>
      </w:r>
      <w:r>
        <w:rPr>
          <w:rFonts w:ascii="Georgia" w:cs="Georgia" w:eastAsia="Georgia" w:hAnsi="Georgia"/>
          <w:color w:val="B5432F"/>
          <w:sz w:val="22"/>
          <w:szCs w:val="22"/>
          <w:vertAlign w:val="superscript"/>
        </w:rPr>
        <w:t xml:space="preserve">32</w:t>
      </w:r>
      <w:r>
        <w:rPr>
          <w:rFonts w:ascii="Georgia" w:cs="Georgia" w:eastAsia="Georgia" w:hAnsi="Georgia"/>
          <w:color w:val="1B2A41"/>
          <w:sz w:val="22"/>
          <w:szCs w:val="22"/>
        </w:rPr>
        <w:t xml:space="preserve"> Braddock and Dillard's meta-analysis across 37 to 40 studies found narrative exposure associated with narrative-consistent beliefs, attitudes, and intentions at correlations of .17 to .19 and with behavior at .23.</w:t>
      </w:r>
      <w:r>
        <w:rPr>
          <w:rFonts w:ascii="Georgia" w:cs="Georgia" w:eastAsia="Georgia" w:hAnsi="Georgia"/>
          <w:color w:val="B5432F"/>
          <w:sz w:val="22"/>
          <w:szCs w:val="22"/>
          <w:vertAlign w:val="superscript"/>
        </w:rPr>
        <w:t xml:space="preserve">33</w:t>
      </w:r>
      <w:r>
        <w:rPr>
          <w:rFonts w:ascii="Georgia" w:cs="Georgia" w:eastAsia="Georgia" w:hAnsi="Georgia"/>
          <w:color w:val="1B2A41"/>
          <w:sz w:val="22"/>
          <w:szCs w:val="22"/>
        </w:rPr>
        <w:t xml:space="preserve"> Shen's meta-analysis of 25 health communication studies found a small overall effect with a decisive moderator: audio and video narratives produced significant effects, and text did not.</w:t>
      </w:r>
      <w:r>
        <w:rPr>
          <w:rFonts w:ascii="Georgia" w:cs="Georgia" w:eastAsia="Georgia" w:hAnsi="Georgia"/>
          <w:color w:val="B5432F"/>
          <w:sz w:val="22"/>
          <w:szCs w:val="22"/>
          <w:vertAlign w:val="superscript"/>
        </w:rPr>
        <w:t xml:space="preserve">34</w:t>
      </w:r>
      <w:r>
        <w:rPr>
          <w:rFonts w:ascii="Georgia" w:cs="Georgia" w:eastAsia="Georgia" w:hAnsi="Georgia"/>
          <w:color w:val="1B2A41"/>
          <w:sz w:val="22"/>
          <w:szCs w:val="22"/>
        </w:rPr>
        <w:t xml:space="preserve"> The World Health Organization's scoping review of more than 3,000 studies concluded that the arts have "a major role" in the prevention of ill health, the promotion of health, and the management and treatment of illness.</w:t>
      </w:r>
      <w:r>
        <w:rPr>
          <w:rFonts w:ascii="Georgia" w:cs="Georgia" w:eastAsia="Georgia" w:hAnsi="Georgia"/>
          <w:color w:val="B5432F"/>
          <w:sz w:val="22"/>
          <w:szCs w:val="22"/>
          <w:vertAlign w:val="superscript"/>
        </w:rPr>
        <w:t xml:space="preserve">35</w:t>
      </w:r>
      <w:r>
        <w:rPr>
          <w:rFonts w:ascii="Georgia" w:cs="Georgia" w:eastAsia="Georgia" w:hAnsi="Georgia"/>
          <w:color w:val="1B2A41"/>
          <w:sz w:val="22"/>
          <w:szCs w:val="22"/>
        </w:rPr>
        <w:t xml:space="preserve"> Kreuter's framework names the four things narrative does that information cannot: overcoming resistance, facilitating processing, providing surrogate social connection, and addressing emotional and existential issues.</w:t>
      </w:r>
      <w:r>
        <w:rPr>
          <w:rFonts w:ascii="Georgia" w:cs="Georgia" w:eastAsia="Georgia" w:hAnsi="Georgia"/>
          <w:color w:val="B5432F"/>
          <w:sz w:val="22"/>
          <w:szCs w:val="22"/>
          <w:vertAlign w:val="superscript"/>
        </w:rPr>
        <w:t xml:space="preserve">36</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Nothing here claims that a story cures a disease. What the trials show is that story is a clinical variable: measurable, repeatable, and almost entirely unmanaged.</w:t>
      </w:r>
    </w:p>
    <w:p>
      <w:pPr>
        <w:spacing w:after="160" w:line="300"/>
        <w:jc w:val="left"/>
      </w:pPr>
      <w:r>
        <w:rPr>
          <w:rFonts w:ascii="Georgia" w:cs="Georgia" w:eastAsia="Georgia" w:hAnsi="Georgia"/>
          <w:color w:val="1B2A41"/>
          <w:sz w:val="22"/>
          <w:szCs w:val="22"/>
        </w:rPr>
        <w:t xml:space="preserve">Read together, the literature says three things. Narrative works best where trust and literacy are lowest, which is where the need is greatest. Narrative in motion works where narrative in text does not. And narrative is a variable with a dose, a population, and a failure mode, which makes it something an institution can be accountable for.</w:t>
      </w:r>
    </w:p>
    <w:p>
      <w:pPr>
        <w:pStyle w:val="Heading1"/>
        <w:keepNext/>
        <w:spacing w:after="280" w:before="520"/>
      </w:pPr>
      <w:r>
        <w:rPr>
          <w:rFonts w:ascii="Helvetica Neue" w:cs="Helvetica Neue" w:eastAsia="Helvetica Neue" w:hAnsi="Helvetica Neue"/>
          <w:b/>
          <w:bCs/>
          <w:color w:val="1B2A41"/>
          <w:sz w:val="40"/>
          <w:szCs w:val="40"/>
        </w:rPr>
        <w:t xml:space="preserve">5. Intelligence: What the Studio Knows</w:t>
      </w:r>
    </w:p>
    <w:p>
      <w:pPr>
        <w:spacing w:after="160" w:line="300"/>
        <w:jc w:val="left"/>
      </w:pPr>
      <w:r>
        <w:rPr>
          <w:rFonts w:ascii="Georgia" w:cs="Georgia" w:eastAsia="Georgia" w:hAnsi="Georgia"/>
          <w:color w:val="1B2A41"/>
          <w:sz w:val="22"/>
          <w:szCs w:val="22"/>
        </w:rPr>
        <w:t xml:space="preserve">A studio that is accountable for outcomes has to know four things, and the health system today keeps each of them in a different place.</w:t>
      </w:r>
    </w:p>
    <w:p>
      <w:pPr>
        <w:spacing w:after="160" w:line="300"/>
        <w:jc w:val="left"/>
      </w:pPr>
      <w:r>
        <w:rPr>
          <w:rFonts w:ascii="Georgia" w:cs="Georgia" w:eastAsia="Georgia" w:hAnsi="Georgia"/>
          <w:b/>
          <w:bCs/>
          <w:color w:val="1B2A41"/>
          <w:sz w:val="22"/>
          <w:szCs w:val="22"/>
        </w:rPr>
        <w:t xml:space="preserve">The studio knows the person.</w:t>
      </w:r>
      <w:r>
        <w:rPr>
          <w:rFonts w:ascii="Georgia" w:cs="Georgia" w:eastAsia="Georgia" w:hAnsi="Georgia"/>
          <w:color w:val="1B2A41"/>
          <w:sz w:val="22"/>
          <w:szCs w:val="22"/>
        </w:rPr>
        <w:t xml:space="preserve"> Who is receiving the story, what they already believe, what they fear, what they have tried. The evidence is specific about why this matters: the same survivor-story video that made no overall difference doubled screening among women without a high school diploma,</w:t>
      </w:r>
      <w:r>
        <w:rPr>
          <w:rFonts w:ascii="Georgia" w:cs="Georgia" w:eastAsia="Georgia" w:hAnsi="Georgia"/>
          <w:color w:val="B5432F"/>
          <w:sz w:val="22"/>
          <w:szCs w:val="22"/>
          <w:vertAlign w:val="superscript"/>
        </w:rPr>
        <w:t xml:space="preserve">29</w:t>
      </w:r>
      <w:r>
        <w:rPr>
          <w:rFonts w:ascii="Georgia" w:cs="Georgia" w:eastAsia="Georgia" w:hAnsi="Georgia"/>
          <w:color w:val="1B2A41"/>
          <w:sz w:val="22"/>
          <w:szCs w:val="22"/>
        </w:rPr>
        <w:t xml:space="preserve"> and the same storytelling DVDs that moved blood pressure in uncontrolled patients did nothing for controlled ones.</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A narrative delivered to the wrong person is an expense. Delivered to the right one, it is a treatment effect. This is the knowledge medicine holds in the chart and marketing holds in the segment, and neither holds in a form a story can be built from.</w:t>
      </w:r>
    </w:p>
    <w:p>
      <w:pPr>
        <w:spacing w:after="160" w:line="300"/>
        <w:jc w:val="left"/>
      </w:pPr>
      <w:r>
        <w:rPr>
          <w:rFonts w:ascii="Georgia" w:cs="Georgia" w:eastAsia="Georgia" w:hAnsi="Georgia"/>
          <w:b/>
          <w:bCs/>
          <w:color w:val="1B2A41"/>
          <w:sz w:val="22"/>
          <w:szCs w:val="22"/>
        </w:rPr>
        <w:t xml:space="preserve">The studio knows the craft.</w:t>
      </w:r>
      <w:r>
        <w:rPr>
          <w:rFonts w:ascii="Georgia" w:cs="Georgia" w:eastAsia="Georgia" w:hAnsi="Georgia"/>
          <w:color w:val="1B2A41"/>
          <w:sz w:val="22"/>
          <w:szCs w:val="22"/>
        </w:rPr>
        <w:t xml:space="preserve"> The neuroscience is unusually direct. Hasson's laboratory showed that a tightly authored Hitchcock episode produced similar brain responses across viewers in more than 65 percent of the cortex, that a Sergio Leone film produced 45 percent, an unscripted comedy 18 percent, and unstructured footage of a public square under 5 percent.</w:t>
      </w:r>
      <w:r>
        <w:rPr>
          <w:rFonts w:ascii="Georgia" w:cs="Georgia" w:eastAsia="Georgia" w:hAnsi="Georgia"/>
          <w:color w:val="B5432F"/>
          <w:sz w:val="22"/>
          <w:szCs w:val="22"/>
          <w:vertAlign w:val="superscript"/>
        </w:rPr>
        <w:t xml:space="preserve">37</w:t>
      </w:r>
      <w:r>
        <w:rPr>
          <w:rFonts w:ascii="Georgia" w:cs="Georgia" w:eastAsia="Georgia" w:hAnsi="Georgia"/>
          <w:color w:val="1B2A41"/>
          <w:sz w:val="22"/>
          <w:szCs w:val="22"/>
        </w:rPr>
        <w:t xml:space="preserve"> Authored narrative synchronizes audiences. The same laboratory showed that a speaker's brain couples with a listener's during successful communication and that the coupling vanishes when communication fails.</w:t>
      </w:r>
      <w:r>
        <w:rPr>
          <w:rFonts w:ascii="Georgia" w:cs="Georgia" w:eastAsia="Georgia" w:hAnsi="Georgia"/>
          <w:color w:val="B5432F"/>
          <w:sz w:val="22"/>
          <w:szCs w:val="22"/>
          <w:vertAlign w:val="superscript"/>
        </w:rPr>
        <w:t xml:space="preserve">38</w:t>
      </w:r>
      <w:r>
        <w:rPr>
          <w:rFonts w:ascii="Georgia" w:cs="Georgia" w:eastAsia="Georgia" w:hAnsi="Georgia"/>
          <w:color w:val="1B2A41"/>
          <w:sz w:val="22"/>
          <w:szCs w:val="22"/>
        </w:rPr>
        <w:t xml:space="preserve"> Small, Loewenstein, and Slovic showed that people gave $2.83 to an identifiable victim against $1.17 to statistical ones, and that adding statistics to the identifiable victim's story reduced giving rather than raising it.</w:t>
      </w:r>
      <w:r>
        <w:rPr>
          <w:rFonts w:ascii="Georgia" w:cs="Georgia" w:eastAsia="Georgia" w:hAnsi="Georgia"/>
          <w:color w:val="B5432F"/>
          <w:sz w:val="22"/>
          <w:szCs w:val="22"/>
          <w:vertAlign w:val="superscript"/>
        </w:rPr>
        <w:t xml:space="preserve">39</w:t>
      </w:r>
      <w:r>
        <w:rPr>
          <w:rFonts w:ascii="Georgia" w:cs="Georgia" w:eastAsia="Georgia" w:hAnsi="Georgia"/>
          <w:color w:val="1B2A41"/>
          <w:sz w:val="22"/>
          <w:szCs w:val="22"/>
        </w:rPr>
        <w:t xml:space="preserve"> The craft the studio encodes is the craft of making one person's story land in another person's body, and of knowing when a number will break the spell.</w:t>
      </w:r>
    </w:p>
    <w:p>
      <w:pPr>
        <w:spacing w:after="160" w:line="300"/>
        <w:jc w:val="left"/>
      </w:pPr>
      <w:r>
        <w:rPr>
          <w:rFonts w:ascii="Georgia" w:cs="Georgia" w:eastAsia="Georgia" w:hAnsi="Georgia"/>
          <w:b/>
          <w:bCs/>
          <w:color w:val="1B2A41"/>
          <w:sz w:val="22"/>
          <w:szCs w:val="22"/>
        </w:rPr>
        <w:t xml:space="preserve">The studio knows the record.</w:t>
      </w:r>
      <w:r>
        <w:rPr>
          <w:rFonts w:ascii="Georgia" w:cs="Georgia" w:eastAsia="Georgia" w:hAnsi="Georgia"/>
          <w:color w:val="1B2A41"/>
          <w:sz w:val="22"/>
          <w:szCs w:val="22"/>
        </w:rPr>
        <w:t xml:space="preserve"> Every narrative carries its lineage, and in health the lineage is regulated. The HIPAA Privacy Rule requires an individual's written authorization before protected health information is used for marketing, and the authorization must disclose any remuneration.</w:t>
      </w:r>
      <w:r>
        <w:rPr>
          <w:rFonts w:ascii="Georgia" w:cs="Georgia" w:eastAsia="Georgia" w:hAnsi="Georgia"/>
          <w:color w:val="B5432F"/>
          <w:sz w:val="22"/>
          <w:szCs w:val="22"/>
          <w:vertAlign w:val="superscript"/>
        </w:rPr>
        <w:t xml:space="preserve">40</w:t>
      </w:r>
      <w:r>
        <w:rPr>
          <w:rFonts w:ascii="Georgia" w:cs="Georgia" w:eastAsia="Georgia" w:hAnsi="Georgia"/>
          <w:color w:val="1B2A41"/>
          <w:sz w:val="22"/>
          <w:szCs w:val="22"/>
        </w:rPr>
        <w:t xml:space="preserve"> The FTC's 2024 rule bans testimonials that misrepresent a real person's experience, including AI-generated ones, while permitting synthetic actors that are not presented as real patients.</w:t>
      </w:r>
      <w:r>
        <w:rPr>
          <w:rFonts w:ascii="Georgia" w:cs="Georgia" w:eastAsia="Georgia" w:hAnsi="Georgia"/>
          <w:color w:val="B5432F"/>
          <w:sz w:val="22"/>
          <w:szCs w:val="22"/>
          <w:vertAlign w:val="superscript"/>
        </w:rPr>
        <w:t xml:space="preserve">41</w:t>
      </w:r>
      <w:r>
        <w:rPr>
          <w:rFonts w:ascii="Georgia" w:cs="Georgia" w:eastAsia="Georgia" w:hAnsi="Georgia"/>
          <w:color w:val="1B2A41"/>
          <w:sz w:val="22"/>
          <w:szCs w:val="22"/>
        </w:rPr>
        <w:t xml:space="preserve"> The FDA is sending thousands of letters over benefit-heavy drug promotion.</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A story that moved a patient and cannot show its consent, its medical review, and its disclosure is a liability with a heartbeat.</w:t>
      </w:r>
    </w:p>
    <w:p>
      <w:pPr>
        <w:spacing w:after="160" w:line="300"/>
        <w:jc w:val="left"/>
      </w:pPr>
      <w:r>
        <w:rPr>
          <w:rFonts w:ascii="Georgia" w:cs="Georgia" w:eastAsia="Georgia" w:hAnsi="Georgia"/>
          <w:b/>
          <w:bCs/>
          <w:color w:val="1B2A41"/>
          <w:sz w:val="22"/>
          <w:szCs w:val="22"/>
        </w:rPr>
        <w:t xml:space="preserve">The studio knows the outcome.</w:t>
      </w:r>
      <w:r>
        <w:rPr>
          <w:rFonts w:ascii="Georgia" w:cs="Georgia" w:eastAsia="Georgia" w:hAnsi="Georgia"/>
          <w:color w:val="1B2A41"/>
          <w:sz w:val="22"/>
          <w:szCs w:val="22"/>
        </w:rPr>
        <w:t xml:space="preserve"> Blood pressure, adherence, screening uptake, distress, quality of life, quit attempts, appointment rates. Attributed to the narrative decision that produced it, and written back, so that the next brief begins knowing that the peer story worked and the expert lecture did not, for this population, in this form.</w:t>
      </w:r>
    </w:p>
    <w:p>
      <w:pPr>
        <w:keepNext/>
        <w:spacing w:after="80" w:before="240"/>
        <w:jc w:val="center"/>
      </w:pPr>
      <w:r>
        <w:drawing>
          <wp:inline distT="0" distB="0" distL="0" distR="0">
            <wp:extent cx="4953000" cy="4048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953000" cy="4048125"/>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1. The studio's intelligence loop for health. The person, the craft, the record, and the outcome are one system. Outcomes are written back against the narrative decisions that produced them, which is possible only because the studio made the story, governed the review, and measured the result.</w:t>
      </w:r>
    </w:p>
    <w:p>
      <w:pPr>
        <w:pStyle w:val="Heading2"/>
        <w:keepNext/>
        <w:spacing w:after="120" w:before="280"/>
      </w:pPr>
      <w:r>
        <w:rPr>
          <w:rFonts w:ascii="Helvetica Neue" w:cs="Helvetica Neue" w:eastAsia="Helvetica Neue" w:hAnsi="Helvetica Neue"/>
          <w:b/>
          <w:bCs/>
          <w:color w:val="B5432F"/>
          <w:sz w:val="26"/>
          <w:szCs w:val="26"/>
        </w:rPr>
        <w:t xml:space="preserve">Prediction and the Large Brand Model</w:t>
      </w:r>
    </w:p>
    <w:p>
      <w:pPr>
        <w:spacing w:after="160" w:line="300"/>
        <w:jc w:val="left"/>
      </w:pPr>
      <w:r>
        <w:rPr>
          <w:rFonts w:ascii="Georgia" w:cs="Georgia" w:eastAsia="Georgia" w:hAnsi="Georgia"/>
          <w:color w:val="1B2A41"/>
          <w:sz w:val="22"/>
          <w:szCs w:val="22"/>
        </w:rPr>
        <w:t xml:space="preserve">Narrative medicine calls the underlying skill narrative competence, and Charon's definition is the studio's operating standard: acknowledge, absorb, interpret, act.</w:t>
      </w:r>
      <w:r>
        <w:rPr>
          <w:rFonts w:ascii="Georgia" w:cs="Georgia" w:eastAsia="Georgia" w:hAnsi="Georgia"/>
          <w:color w:val="B5432F"/>
          <w:sz w:val="22"/>
          <w:szCs w:val="22"/>
          <w:vertAlign w:val="superscript"/>
        </w:rPr>
        <w:t xml:space="preserve">1</w:t>
      </w:r>
      <w:r>
        <w:rPr>
          <w:rFonts w:ascii="Georgia" w:cs="Georgia" w:eastAsia="Georgia" w:hAnsi="Georgia"/>
          <w:color w:val="1B2A41"/>
          <w:sz w:val="22"/>
          <w:szCs w:val="22"/>
        </w:rPr>
        <w:t xml:space="preserve"> Columbia founded its program in 2000 and the first master's degree in the field in 2009.</w:t>
      </w:r>
      <w:r>
        <w:rPr>
          <w:rFonts w:ascii="Georgia" w:cs="Georgia" w:eastAsia="Georgia" w:hAnsi="Georgia"/>
          <w:color w:val="B5432F"/>
          <w:sz w:val="22"/>
          <w:szCs w:val="22"/>
          <w:vertAlign w:val="superscript"/>
        </w:rPr>
        <w:t xml:space="preserve">42</w:t>
      </w:r>
      <w:r>
        <w:rPr>
          <w:rFonts w:ascii="Georgia" w:cs="Georgia" w:eastAsia="Georgia" w:hAnsi="Georgia"/>
          <w:color w:val="1B2A41"/>
          <w:sz w:val="22"/>
          <w:szCs w:val="22"/>
        </w:rPr>
        <w:t xml:space="preserve"> What the clinical field built as a human skill, the Large Brand Model at the center of a Narrative Intelligence Studio holds as an institutional one: persistent across staff and models, specific to the people served, and improving with every outcome it records. The prediction is bounded by the evidence in Section 4. The studio can predict that a peer story in video will outperform a text pamphlet for a low-literacy audience, because the trials say so, and it can learn where that prediction fails, because it measures.</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narrative delivered to the wrong person is an expense. Delivered to the right one, it is a treatment effect.</w:t>
      </w:r>
    </w:p>
    <w:p>
      <w:pPr>
        <w:pStyle w:val="Heading1"/>
        <w:keepNext/>
        <w:spacing w:after="280" w:before="520"/>
      </w:pPr>
      <w:r>
        <w:rPr>
          <w:rFonts w:ascii="Helvetica Neue" w:cs="Helvetica Neue" w:eastAsia="Helvetica Neue" w:hAnsi="Helvetica Neue"/>
          <w:b/>
          <w:bCs/>
          <w:color w:val="1B2A41"/>
          <w:sz w:val="40"/>
          <w:szCs w:val="40"/>
        </w:rPr>
        <w:t xml:space="preserve">6. Studio: The Operating Model</w:t>
      </w:r>
    </w:p>
    <w:p>
      <w:pPr>
        <w:spacing w:after="160" w:line="300"/>
        <w:jc w:val="left"/>
      </w:pPr>
      <w:r>
        <w:rPr>
          <w:rFonts w:ascii="Georgia" w:cs="Georgia" w:eastAsia="Georgia" w:hAnsi="Georgia"/>
          <w:color w:val="1B2A41"/>
          <w:sz w:val="22"/>
          <w:szCs w:val="22"/>
        </w:rPr>
        <w:t xml:space="preserve">Entertainment has been running health interventions for fifty years, and the results are among the largest in the public health record. Miguel Sabido's 1975 Mexican telenovela Ven Conmigo was followed by more than 500,000 adults enrolling in literacy classes; he calls the method "entertainment, with a proven social benefit."</w:t>
      </w:r>
      <w:r>
        <w:rPr>
          <w:rFonts w:ascii="Georgia" w:cs="Georgia" w:eastAsia="Georgia" w:hAnsi="Georgia"/>
          <w:color w:val="B5432F"/>
          <w:sz w:val="22"/>
          <w:szCs w:val="22"/>
          <w:vertAlign w:val="superscript"/>
        </w:rPr>
        <w:t xml:space="preserve">43</w:t>
      </w:r>
      <w:r>
        <w:rPr>
          <w:rFonts w:ascii="Georgia" w:cs="Georgia" w:eastAsia="Georgia" w:hAnsi="Georgia"/>
          <w:color w:val="1B2A41"/>
          <w:sz w:val="22"/>
          <w:szCs w:val="22"/>
        </w:rPr>
        <w:t xml:space="preserve"> Hollywood, Health &amp; Society at the University of Southern California has spent two decades providing writers on hundreds of shows with accurate health information, funded by the CDC and major foundations.</w:t>
      </w:r>
      <w:r>
        <w:rPr>
          <w:rFonts w:ascii="Georgia" w:cs="Georgia" w:eastAsia="Georgia" w:hAnsi="Georgia"/>
          <w:color w:val="B5432F"/>
          <w:sz w:val="22"/>
          <w:szCs w:val="22"/>
          <w:vertAlign w:val="superscript"/>
        </w:rPr>
        <w:t xml:space="preserve">44</w:t>
      </w:r>
      <w:r>
        <w:rPr>
          <w:rFonts w:ascii="Georgia" w:cs="Georgia" w:eastAsia="Georgia" w:hAnsi="Georgia"/>
          <w:color w:val="1B2A41"/>
          <w:sz w:val="22"/>
          <w:szCs w:val="22"/>
        </w:rPr>
        <w:t xml:space="preserve"> East Los High, a scripted drama with digital extensions, was evaluated in the American Journal of Public Health and drew more than 215,000 tracked visits to its health resources; its evaluator's first principle was that "it has to be compelling so that you don't feel like you're being preached at."</w:t>
      </w:r>
      <w:r>
        <w:rPr>
          <w:rFonts w:ascii="Georgia" w:cs="Georgia" w:eastAsia="Georgia" w:hAnsi="Georgia"/>
          <w:color w:val="B5432F"/>
          <w:sz w:val="22"/>
          <w:szCs w:val="22"/>
          <w:vertAlign w:val="superscript"/>
        </w:rPr>
        <w:t xml:space="preserve">45</w:t>
      </w:r>
      <w:r>
        <w:rPr>
          <w:rFonts w:ascii="Georgia" w:cs="Georgia" w:eastAsia="Georgia" w:hAnsi="Georgia"/>
          <w:color w:val="B5432F"/>
          <w:sz w:val="22"/>
          <w:szCs w:val="22"/>
          <w:vertAlign w:val="superscript"/>
        </w:rPr>
        <w:t xml:space="preserve">46</w:t>
      </w:r>
      <w:r>
        <w:rPr>
          <w:rFonts w:ascii="Georgia" w:cs="Georgia" w:eastAsia="Georgia" w:hAnsi="Georgia"/>
          <w:color w:val="1B2A41"/>
          <w:sz w:val="22"/>
          <w:szCs w:val="22"/>
        </w:rPr>
        <w:t xml:space="preserve"> In 2025, viewers of The Pitt were 27 percent more likely to seek organ-donation information and 39 percent more likely to seek end-of-life planning information.</w:t>
      </w:r>
      <w:r>
        <w:rPr>
          <w:rFonts w:ascii="Georgia" w:cs="Georgia" w:eastAsia="Georgia" w:hAnsi="Georgia"/>
          <w:color w:val="B5432F"/>
          <w:sz w:val="22"/>
          <w:szCs w:val="22"/>
          <w:vertAlign w:val="superscript"/>
        </w:rPr>
        <w:t xml:space="preserve">47</w:t>
      </w:r>
    </w:p>
    <w:p>
      <w:pPr>
        <w:spacing w:after="160" w:line="300"/>
        <w:jc w:val="left"/>
      </w:pPr>
      <w:r>
        <w:rPr>
          <w:rFonts w:ascii="Georgia" w:cs="Georgia" w:eastAsia="Georgia" w:hAnsi="Georgia"/>
          <w:color w:val="1B2A41"/>
          <w:sz w:val="22"/>
          <w:szCs w:val="22"/>
        </w:rPr>
        <w:t xml:space="preserve">The largest documented narrative intervention in American public health is an advertising campaign. The CDC's Tips From Former Smokers, built entirely on real former smokers telling their own stories, prompted an estimated 1.6 million quit attempts in its first three months in 2012,</w:t>
      </w:r>
      <w:r>
        <w:rPr>
          <w:rFonts w:ascii="Georgia" w:cs="Georgia" w:eastAsia="Georgia" w:hAnsi="Georgia"/>
          <w:color w:val="B5432F"/>
          <w:sz w:val="22"/>
          <w:szCs w:val="22"/>
          <w:vertAlign w:val="superscript"/>
        </w:rPr>
        <w:t xml:space="preserve">48</w:t>
      </w:r>
      <w:r>
        <w:rPr>
          <w:rFonts w:ascii="Georgia" w:cs="Georgia" w:eastAsia="Georgia" w:hAnsi="Georgia"/>
          <w:color w:val="1B2A41"/>
          <w:sz w:val="22"/>
          <w:szCs w:val="22"/>
        </w:rPr>
        <w:t xml:space="preserve"> cost $480 per smoker who quit and $268 per year of healthy life gained, fifteen times below the standard cost-effectiveness benchmark,</w:t>
      </w:r>
      <w:r>
        <w:rPr>
          <w:rFonts w:ascii="Georgia" w:cs="Georgia" w:eastAsia="Georgia" w:hAnsi="Georgia"/>
          <w:color w:val="B5432F"/>
          <w:sz w:val="22"/>
          <w:szCs w:val="22"/>
          <w:vertAlign w:val="superscript"/>
        </w:rPr>
        <w:t xml:space="preserve">49</w:t>
      </w:r>
      <w:r>
        <w:rPr>
          <w:rFonts w:ascii="Georgia" w:cs="Georgia" w:eastAsia="Georgia" w:hAnsi="Georgia"/>
          <w:color w:val="1B2A41"/>
          <w:sz w:val="22"/>
          <w:szCs w:val="22"/>
        </w:rPr>
        <w:t xml:space="preserve"> and led more than one million American adults to quit between 2012 and 2018. The CDC's own attribution: "Personal stories from former smokers about the impact smoking has had on their lives have served an important role in helping others to quit."</w:t>
      </w:r>
      <w:r>
        <w:rPr>
          <w:rFonts w:ascii="Georgia" w:cs="Georgia" w:eastAsia="Georgia" w:hAnsi="Georgia"/>
          <w:color w:val="B5432F"/>
          <w:sz w:val="22"/>
          <w:szCs w:val="22"/>
          <w:vertAlign w:val="superscript"/>
        </w:rPr>
        <w:t xml:space="preserve">50</w:t>
      </w:r>
      <w:r>
        <w:rPr>
          <w:rFonts w:ascii="Georgia" w:cs="Georgia" w:eastAsia="Georgia" w:hAnsi="Georgia"/>
          <w:color w:val="1B2A41"/>
          <w:sz w:val="22"/>
          <w:szCs w:val="22"/>
        </w:rPr>
        <w:t xml:space="preserve"> The truth campaign against youth smoking initiation reduced the risk of starting by 20 percent and prevented an estimated 450,000 adolescents from trying smoking.</w:t>
      </w:r>
      <w:r>
        <w:rPr>
          <w:rFonts w:ascii="Georgia" w:cs="Georgia" w:eastAsia="Georgia" w:hAnsi="Georgia"/>
          <w:color w:val="B5432F"/>
          <w:sz w:val="22"/>
          <w:szCs w:val="22"/>
          <w:vertAlign w:val="superscript"/>
        </w:rPr>
        <w:t xml:space="preserve">51</w:t>
      </w:r>
    </w:p>
    <w:p>
      <w:pPr>
        <w:spacing w:after="160" w:line="300"/>
        <w:jc w:val="left"/>
      </w:pPr>
      <w:r>
        <w:rPr>
          <w:rFonts w:ascii="Georgia" w:cs="Georgia" w:eastAsia="Georgia" w:hAnsi="Georgia"/>
          <w:color w:val="1B2A41"/>
          <w:sz w:val="22"/>
          <w:szCs w:val="22"/>
        </w:rPr>
        <w:t xml:space="preserve">These are studio outcomes achieved without a studio: each one required a coalition of agencies, producers, scientists, and funders assembled for the purpose and dissolved afterward, taking what they had learned with them. A Narrative Intelligence Studio is the institution that keeps the coalition standing.</w:t>
      </w:r>
    </w:p>
    <w:p>
      <w:pPr>
        <w:pStyle w:val="Heading2"/>
        <w:keepNext/>
        <w:spacing w:after="120" w:before="280"/>
      </w:pPr>
      <w:r>
        <w:rPr>
          <w:rFonts w:ascii="Helvetica Neue" w:cs="Helvetica Neue" w:eastAsia="Helvetica Neue" w:hAnsi="Helvetica Neue"/>
          <w:b/>
          <w:bCs/>
          <w:color w:val="B5432F"/>
          <w:sz w:val="26"/>
          <w:szCs w:val="26"/>
        </w:rPr>
        <w:t xml:space="preserve">From brief to outcome</w:t>
      </w:r>
    </w:p>
    <w:p>
      <w:pPr>
        <w:keepNext/>
        <w:spacing w:after="80" w:before="240"/>
        <w:jc w:val="center"/>
      </w:pPr>
      <w:r>
        <w:drawing>
          <wp:inline distT="0" distB="0" distL="0" distR="0">
            <wp:extent cx="59055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05500" cy="2590800"/>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2. The studio's operating model for health, brief to outcome. Human direction at every creative and clinical decision, machine assistance at every step where assistance is possible, and governance checkpoints for consent, medical review, fair balance, disclosure, and outcome attribution built into the flow.</w:t>
      </w:r>
    </w:p>
    <w:p>
      <w:pPr>
        <w:spacing w:after="160" w:line="300"/>
        <w:jc w:val="left"/>
      </w:pPr>
      <w:r>
        <w:rPr>
          <w:rFonts w:ascii="Georgia" w:cs="Georgia" w:eastAsia="Georgia" w:hAnsi="Georgia"/>
          <w:color w:val="1B2A41"/>
          <w:sz w:val="22"/>
          <w:szCs w:val="22"/>
        </w:rPr>
        <w:t xml:space="preserve">A brief enters a system that already knows the population, the institution's voice, and what has worked for people like these. Candidates are generated inside that grammar by whichever models best serve the scene and refused when they fall outside it. A director shapes the story; a medical reviewer holds the science; a producer holds the record. Consent is confirmed before any real person's likeness, voice, or history is used, and any synthetic person is disclosed as one. Fair balance is applied where a treatment is discussed. The work ships with provenance. The outcome returns, attributed to the narrative decisions that produced it, and the next brief begins higher.</w:t>
      </w:r>
    </w:p>
    <w:p>
      <w:pPr>
        <w:pStyle w:val="Heading2"/>
        <w:keepNext/>
        <w:spacing w:after="120" w:before="280"/>
      </w:pPr>
      <w:r>
        <w:rPr>
          <w:rFonts w:ascii="Helvetica Neue" w:cs="Helvetica Neue" w:eastAsia="Helvetica Neue" w:hAnsi="Helvetica Neue"/>
          <w:b/>
          <w:bCs/>
          <w:color w:val="B5432F"/>
          <w:sz w:val="26"/>
          <w:szCs w:val="26"/>
        </w:rPr>
        <w:t xml:space="preserve">Governance is the product</w:t>
      </w:r>
    </w:p>
    <w:p>
      <w:pPr>
        <w:spacing w:after="160" w:line="300"/>
        <w:jc w:val="left"/>
      </w:pPr>
      <w:r>
        <w:rPr>
          <w:rFonts w:ascii="Georgia" w:cs="Georgia" w:eastAsia="Georgia" w:hAnsi="Georgia"/>
          <w:color w:val="1B2A41"/>
          <w:sz w:val="22"/>
          <w:szCs w:val="22"/>
        </w:rPr>
        <w:t xml:space="preserve">Health communication is the most regulated storytelling in the world, and a studio treats the regulation as the design brief. Written HIPAA authorization before a patient's story is used, with remuneration disclosed.</w:t>
      </w:r>
      <w:r>
        <w:rPr>
          <w:rFonts w:ascii="Georgia" w:cs="Georgia" w:eastAsia="Georgia" w:hAnsi="Georgia"/>
          <w:color w:val="B5432F"/>
          <w:sz w:val="22"/>
          <w:szCs w:val="22"/>
          <w:vertAlign w:val="superscript"/>
        </w:rPr>
        <w:t xml:space="preserve">40</w:t>
      </w:r>
      <w:r>
        <w:rPr>
          <w:rFonts w:ascii="Georgia" w:cs="Georgia" w:eastAsia="Georgia" w:hAnsi="Georgia"/>
          <w:color w:val="1B2A41"/>
          <w:sz w:val="22"/>
          <w:szCs w:val="22"/>
        </w:rPr>
        <w:t xml:space="preserve"> No testimonial that misrepresents a real person's experience, and no synthetic patient presented as real.</w:t>
      </w:r>
      <w:r>
        <w:rPr>
          <w:rFonts w:ascii="Georgia" w:cs="Georgia" w:eastAsia="Georgia" w:hAnsi="Georgia"/>
          <w:color w:val="B5432F"/>
          <w:sz w:val="22"/>
          <w:szCs w:val="22"/>
          <w:vertAlign w:val="superscript"/>
        </w:rPr>
        <w:t xml:space="preserve">41</w:t>
      </w:r>
      <w:r>
        <w:rPr>
          <w:rFonts w:ascii="Georgia" w:cs="Georgia" w:eastAsia="Georgia" w:hAnsi="Georgia"/>
          <w:color w:val="1B2A41"/>
          <w:sz w:val="22"/>
          <w:szCs w:val="22"/>
        </w:rPr>
        <w:t xml:space="preserve"> Fair balance in any communication about a treatment, in an enforcement climate where the FDA has resumed sending warning letters in the thousands.</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The FDA's own draft framework for AI in regulatory decisions offers the governing idea: a "risk-based credibility assessment" of an AI model "for a particular context of use."</w:t>
      </w:r>
      <w:r>
        <w:rPr>
          <w:rFonts w:ascii="Georgia" w:cs="Georgia" w:eastAsia="Georgia" w:hAnsi="Georgia"/>
          <w:color w:val="B5432F"/>
          <w:sz w:val="22"/>
          <w:szCs w:val="22"/>
          <w:vertAlign w:val="superscript"/>
        </w:rPr>
        <w:t xml:space="preserve">52</w:t>
      </w:r>
      <w:r>
        <w:rPr>
          <w:rFonts w:ascii="Georgia" w:cs="Georgia" w:eastAsia="Georgia" w:hAnsi="Georgia"/>
          <w:color w:val="1B2A41"/>
          <w:sz w:val="22"/>
          <w:szCs w:val="22"/>
        </w:rPr>
        <w:t xml:space="preserve"> A Narrative Intelligence Studio applies the same standard to every story it generates. Credible for whom, for what decision, on what evidence.</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CDC's largest quit campaign was a set of true stories. It cost $268 per year of healthy life gained. Nobody kept the coalition that made it.</w:t>
      </w:r>
    </w:p>
    <w:p>
      <w:pPr>
        <w:spacing w:after="160" w:line="300"/>
        <w:jc w:val="left"/>
      </w:pPr>
      <w:r>
        <w:rPr>
          <w:rFonts w:ascii="Georgia" w:cs="Georgia" w:eastAsia="Georgia" w:hAnsi="Georgia"/>
          <w:color w:val="1B2A41"/>
          <w:sz w:val="22"/>
          <w:szCs w:val="22"/>
        </w:rPr>
        <w:t xml:space="preserve">AI-assisted, human-directed, and, in health, patient-controlled. The person whose story is told owns the consent. The institution accountable for the person's care owns the review. The studio owns the craft and the record.</w:t>
      </w:r>
    </w:p>
    <w:p>
      <w:pPr>
        <w:pStyle w:val="Heading1"/>
        <w:keepNext/>
        <w:spacing w:after="280" w:before="520"/>
      </w:pPr>
      <w:r>
        <w:rPr>
          <w:rFonts w:ascii="Helvetica Neue" w:cs="Helvetica Neue" w:eastAsia="Helvetica Neue" w:hAnsi="Helvetica Neue"/>
          <w:b/>
          <w:bCs/>
          <w:color w:val="1B2A41"/>
          <w:sz w:val="40"/>
          <w:szCs w:val="40"/>
        </w:rPr>
        <w:t xml:space="preserve">7. Narrative Art and the City</w:t>
      </w:r>
    </w:p>
    <w:p>
      <w:pPr>
        <w:spacing w:after="160" w:line="300"/>
        <w:jc w:val="left"/>
      </w:pPr>
      <w:r>
        <w:rPr>
          <w:rFonts w:ascii="Georgia" w:cs="Georgia" w:eastAsia="Georgia" w:hAnsi="Georgia"/>
          <w:color w:val="1B2A41"/>
          <w:sz w:val="22"/>
          <w:szCs w:val="22"/>
        </w:rPr>
        <w:t xml:space="preserve">On September 22, 2026, the Lucas Museum of Narrative Art opens in Exposition Park, Los Angeles: 300,000 square feet, more than 100,000 square feet of galleries, a thirteen-acre campus designed by Ma Yansong, and an inaugural presentation of more than 1,200 works drawn from a collection George Lucas assembled over fifty years.</w:t>
      </w:r>
      <w:r>
        <w:rPr>
          <w:rFonts w:ascii="Georgia" w:cs="Georgia" w:eastAsia="Georgia" w:hAnsi="Georgia"/>
          <w:color w:val="B5432F"/>
          <w:sz w:val="22"/>
          <w:szCs w:val="22"/>
          <w:vertAlign w:val="superscript"/>
        </w:rPr>
        <w:t xml:space="preserve">53</w:t>
      </w:r>
      <w:r>
        <w:rPr>
          <w:rFonts w:ascii="Georgia" w:cs="Georgia" w:eastAsia="Georgia" w:hAnsi="Georgia"/>
          <w:color w:val="B5432F"/>
          <w:sz w:val="22"/>
          <w:szCs w:val="22"/>
          <w:vertAlign w:val="superscript"/>
        </w:rPr>
        <w:t xml:space="preserve">54</w:t>
      </w:r>
      <w:r>
        <w:rPr>
          <w:rFonts w:ascii="Georgia" w:cs="Georgia" w:eastAsia="Georgia" w:hAnsi="Georgia"/>
          <w:color w:val="1B2A41"/>
          <w:sz w:val="22"/>
          <w:szCs w:val="22"/>
        </w:rPr>
        <w:t xml:space="preserve"> The cost is reported at roughly one billion dollars, including an endowment.</w:t>
      </w:r>
      <w:r>
        <w:rPr>
          <w:rFonts w:ascii="Georgia" w:cs="Georgia" w:eastAsia="Georgia" w:hAnsi="Georgia"/>
          <w:color w:val="B5432F"/>
          <w:sz w:val="22"/>
          <w:szCs w:val="22"/>
          <w:vertAlign w:val="superscript"/>
        </w:rPr>
        <w:t xml:space="preserve">55</w:t>
      </w:r>
      <w:r>
        <w:rPr>
          <w:rFonts w:ascii="Georgia" w:cs="Georgia" w:eastAsia="Georgia" w:hAnsi="Georgia"/>
          <w:color w:val="B5432F"/>
          <w:sz w:val="22"/>
          <w:szCs w:val="22"/>
          <w:vertAlign w:val="superscript"/>
        </w:rPr>
        <w:t xml:space="preserve">56</w:t>
      </w:r>
      <w:r>
        <w:rPr>
          <w:rFonts w:ascii="Georgia" w:cs="Georgia" w:eastAsia="Georgia" w:hAnsi="Georgia"/>
          <w:color w:val="1B2A41"/>
          <w:sz w:val="22"/>
          <w:szCs w:val="22"/>
        </w:rPr>
        <w:t xml:space="preserve"> It nearly did not come here. Chicago's lakefront site, announced in 2014, died in litigation in 2016; San Francisco's Presidio had refused the project earlier; Los Angeles was chosen in January 2017, and Mayor Eric Garcetti called it "an incredible gift" that "has come home."</w:t>
      </w:r>
      <w:r>
        <w:rPr>
          <w:rFonts w:ascii="Georgia" w:cs="Georgia" w:eastAsia="Georgia" w:hAnsi="Georgia"/>
          <w:color w:val="B5432F"/>
          <w:sz w:val="22"/>
          <w:szCs w:val="22"/>
          <w:vertAlign w:val="superscript"/>
        </w:rPr>
        <w:t xml:space="preserve">57</w:t>
      </w:r>
      <w:r>
        <w:rPr>
          <w:rFonts w:ascii="Georgia" w:cs="Georgia" w:eastAsia="Georgia" w:hAnsi="Georgia"/>
          <w:color w:val="B5432F"/>
          <w:sz w:val="22"/>
          <w:szCs w:val="22"/>
          <w:vertAlign w:val="superscript"/>
        </w:rPr>
        <w:t xml:space="preserve">55</w:t>
      </w:r>
    </w:p>
    <w:p>
      <w:pPr>
        <w:spacing w:after="160" w:line="300"/>
        <w:jc w:val="left"/>
      </w:pPr>
      <w:r>
        <w:rPr>
          <w:rFonts w:ascii="Georgia" w:cs="Georgia" w:eastAsia="Georgia" w:hAnsi="Georgia"/>
          <w:b/>
          <w:bCs/>
          <w:color w:val="1B2A41"/>
          <w:sz w:val="22"/>
          <w:szCs w:val="22"/>
        </w:rPr>
        <w:t xml:space="preserve">Author's note.</w:t>
      </w:r>
      <w:r>
        <w:rPr>
          <w:rFonts w:ascii="Georgia" w:cs="Georgia" w:eastAsia="Georgia" w:hAnsi="Georgia"/>
          <w:color w:val="1B2A41"/>
          <w:sz w:val="22"/>
          <w:szCs w:val="22"/>
        </w:rPr>
        <w:t xml:space="preserve"> I was among those who made the case to George Lucas for Los Angeles as the museum's home. I claim no credit for the decision, which was his and Mellody Hobson's. I claim only that the case was right, and the argument for it is the argument of this paper: that the city which houses the studios should also house the institution that takes storytelling seriously as an art with consequences.</w:t>
      </w:r>
    </w:p>
    <w:p>
      <w:pPr>
        <w:spacing w:after="160" w:line="300"/>
        <w:jc w:val="left"/>
      </w:pPr>
      <w:r>
        <w:rPr>
          <w:rFonts w:ascii="Georgia" w:cs="Georgia" w:eastAsia="Georgia" w:hAnsi="Georgia"/>
          <w:color w:val="1B2A41"/>
          <w:sz w:val="22"/>
          <w:szCs w:val="22"/>
        </w:rPr>
        <w:t xml:space="preserve">The museum's definition of its subject is the definition this paper has been reaching for. "Narrative art tells the story of a society, what the common beliefs are that hold it together," Lucas has said,</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and more pointedly: "A picture is very powerful, and stories are very powerful. When you combine them, those two elements create a society." Narrative art "creates a group of people with a common belief system that allows them to work together, not kill each other, and do things that one person can't do."</w:t>
      </w:r>
      <w:r>
        <w:rPr>
          <w:rFonts w:ascii="Georgia" w:cs="Georgia" w:eastAsia="Georgia" w:hAnsi="Georgia"/>
          <w:color w:val="B5432F"/>
          <w:sz w:val="22"/>
          <w:szCs w:val="22"/>
          <w:vertAlign w:val="superscript"/>
        </w:rPr>
        <w:t xml:space="preserve">58</w:t>
      </w:r>
      <w:r>
        <w:rPr>
          <w:rFonts w:ascii="Georgia" w:cs="Georgia" w:eastAsia="Georgia" w:hAnsi="Georgia"/>
          <w:color w:val="1B2A41"/>
          <w:sz w:val="22"/>
          <w:szCs w:val="22"/>
        </w:rPr>
        <w:t xml:space="preserve"> The collection makes the argument in objects: Norman Rockwell and N. C. Wyeth beside Jack Kirby and Robert Crumb, Frida Kahlo and Jacob Lawrence beside Judith Baca and Diego Rivera, and the production archives of Star Wars beside all of them.</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Lucas calls illustration and comics "the people's art."</w:t>
      </w:r>
      <w:r>
        <w:rPr>
          <w:rFonts w:ascii="Georgia" w:cs="Georgia" w:eastAsia="Georgia" w:hAnsi="Georgia"/>
          <w:color w:val="B5432F"/>
          <w:sz w:val="22"/>
          <w:szCs w:val="22"/>
          <w:vertAlign w:val="superscript"/>
        </w:rPr>
        <w:t xml:space="preserve">54</w:t>
      </w:r>
      <w:r>
        <w:rPr>
          <w:rFonts w:ascii="Georgia" w:cs="Georgia" w:eastAsia="Georgia" w:hAnsi="Georgia"/>
          <w:color w:val="1B2A41"/>
          <w:sz w:val="22"/>
          <w:szCs w:val="22"/>
        </w:rPr>
        <w:t xml:space="preserve"> Residents of the surrounding 90037 zip code, the museum's South Los Angeles neighbors, will enter free.</w:t>
      </w:r>
      <w:r>
        <w:rPr>
          <w:rFonts w:ascii="Georgia" w:cs="Georgia" w:eastAsia="Georgia" w:hAnsi="Georgia"/>
          <w:color w:val="B5432F"/>
          <w:sz w:val="22"/>
          <w:szCs w:val="22"/>
          <w:vertAlign w:val="superscript"/>
        </w:rPr>
        <w:t xml:space="preserve">59</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picture is very powerful, and stories are very powerful. When you combine them, they create a society. That is also how they change a patient.</w:t>
      </w:r>
    </w:p>
    <w:p>
      <w:pPr>
        <w:spacing w:after="160" w:line="300"/>
        <w:jc w:val="left"/>
      </w:pPr>
      <w:r>
        <w:rPr>
          <w:rFonts w:ascii="Georgia" w:cs="Georgia" w:eastAsia="Georgia" w:hAnsi="Georgia"/>
          <w:color w:val="1B2A41"/>
          <w:sz w:val="22"/>
          <w:szCs w:val="22"/>
        </w:rPr>
        <w:t xml:space="preserve">The connection to medicine is not decorative. The trials in Section 4 are trials of pictures combined with stories: a DVD of a neighbor with hypertension, a film about a woman getting a screening, a former smoker on television with a hole in her throat. What moved blood pressure and quit attempts was narrative art in Lucas's exact sense, a common belief system created by combining image and story, applied to a person who had not believed the statistic. A museum that treats that combination as an art worth a billion dollars and a permanent home is making, in public, the claim that a Narrative Intelligence Studio makes in practice: the craft is serious, its effects are real, and it deserves an institution.</w:t>
      </w:r>
    </w:p>
    <w:p>
      <w:pPr>
        <w:spacing w:after="160" w:line="300"/>
        <w:jc w:val="left"/>
      </w:pPr>
      <w:r>
        <w:rPr>
          <w:rFonts w:ascii="Georgia" w:cs="Georgia" w:eastAsia="Georgia" w:hAnsi="Georgia"/>
          <w:color w:val="1B2A41"/>
          <w:sz w:val="22"/>
          <w:szCs w:val="22"/>
        </w:rPr>
        <w:t xml:space="preserve">Los Angeles is now the only city with the studios that make narrative in motion, the museum that collects it as art, and, this paper argues, the category of studio that applies it to outcomes. The three belong together.</w:t>
      </w:r>
    </w:p>
    <w:p>
      <w:pPr>
        <w:pStyle w:val="Heading1"/>
        <w:keepNext/>
        <w:spacing w:after="280" w:before="520"/>
      </w:pPr>
      <w:r>
        <w:rPr>
          <w:rFonts w:ascii="Helvetica Neue" w:cs="Helvetica Neue" w:eastAsia="Helvetica Neue" w:hAnsi="Helvetica Neue"/>
          <w:b/>
          <w:bCs/>
          <w:color w:val="1B2A41"/>
          <w:sz w:val="40"/>
          <w:szCs w:val="40"/>
        </w:rPr>
        <w:t xml:space="preserve">8. What It Changes for Health Leaders</w:t>
      </w:r>
    </w:p>
    <w:p>
      <w:pPr>
        <w:spacing w:after="160" w:line="300"/>
        <w:jc w:val="left"/>
      </w:pPr>
      <w:r>
        <w:rPr>
          <w:rFonts w:ascii="Georgia" w:cs="Georgia" w:eastAsia="Georgia" w:hAnsi="Georgia"/>
          <w:color w:val="1B2A41"/>
          <w:sz w:val="22"/>
          <w:szCs w:val="22"/>
        </w:rPr>
        <w:t xml:space="preserve">Governed, repeatable, measurable. A hospital system, a health brand, a digital health company, or a public health agency that works with a Narrative Intelligence Studio gets one institution accountable for the story and its outcome, instead of a coalition assembled per campaign and dissolved afterward.</w:t>
      </w:r>
    </w:p>
    <w:p>
      <w:pPr>
        <w:pStyle w:val="Heading2"/>
        <w:keepNext/>
        <w:spacing w:after="120" w:before="280"/>
      </w:pPr>
      <w:r>
        <w:rPr>
          <w:rFonts w:ascii="Helvetica Neue" w:cs="Helvetica Neue" w:eastAsia="Helvetica Neue" w:hAnsi="Helvetica Neue"/>
          <w:b/>
          <w:bCs/>
          <w:color w:val="B5432F"/>
          <w:sz w:val="26"/>
          <w:szCs w:val="26"/>
        </w:rPr>
        <w:t xml:space="preserve">For hospitals and health systems</w:t>
      </w:r>
    </w:p>
    <w:p>
      <w:pPr>
        <w:spacing w:after="160" w:line="300"/>
        <w:jc w:val="left"/>
      </w:pPr>
      <w:r>
        <w:rPr>
          <w:rFonts w:ascii="Georgia" w:cs="Georgia" w:eastAsia="Georgia" w:hAnsi="Georgia"/>
          <w:color w:val="1B2A41"/>
          <w:sz w:val="22"/>
          <w:szCs w:val="22"/>
        </w:rPr>
        <w:t xml:space="preserve">Patient experience is already money. Two percent of Medicare payments to participating hospitals are withheld and redistributed on performance, and patient experience is one of four domains that each count for a quarter of the score.</w:t>
      </w:r>
      <w:r>
        <w:rPr>
          <w:rFonts w:ascii="Georgia" w:cs="Georgia" w:eastAsia="Georgia" w:hAnsi="Georgia"/>
          <w:color w:val="B5432F"/>
          <w:sz w:val="22"/>
          <w:szCs w:val="22"/>
          <w:vertAlign w:val="superscript"/>
        </w:rPr>
        <w:t xml:space="preserve">60</w:t>
      </w:r>
      <w:r>
        <w:rPr>
          <w:rFonts w:ascii="Georgia" w:cs="Georgia" w:eastAsia="Georgia" w:hAnsi="Georgia"/>
          <w:color w:val="1B2A41"/>
          <w:sz w:val="22"/>
          <w:szCs w:val="22"/>
        </w:rPr>
        <w:t xml:space="preserve"> Hospitals with excellent patient-reported experience ran net margins of 4.7 percent against 1.8 percent for those with low ratings, and a ten-point rise in top-box ratings was associated with a 1.4 percent margin gain.</w:t>
      </w:r>
      <w:r>
        <w:rPr>
          <w:rFonts w:ascii="Georgia" w:cs="Georgia" w:eastAsia="Georgia" w:hAnsi="Georgia"/>
          <w:color w:val="B5432F"/>
          <w:sz w:val="22"/>
          <w:szCs w:val="22"/>
          <w:vertAlign w:val="superscript"/>
        </w:rPr>
        <w:t xml:space="preserve">61</w:t>
      </w:r>
      <w:r>
        <w:rPr>
          <w:rFonts w:ascii="Georgia" w:cs="Georgia" w:eastAsia="Georgia" w:hAnsi="Georgia"/>
          <w:color w:val="1B2A41"/>
          <w:sz w:val="22"/>
          <w:szCs w:val="22"/>
        </w:rPr>
        <w:t xml:space="preserve"> Medical marketing by hospitals, cancer centers, and health services grew from $542 million to $2.9 billion between 1997 and 2016,</w:t>
      </w:r>
      <w:r>
        <w:rPr>
          <w:rFonts w:ascii="Georgia" w:cs="Georgia" w:eastAsia="Georgia" w:hAnsi="Georgia"/>
          <w:color w:val="B5432F"/>
          <w:sz w:val="22"/>
          <w:szCs w:val="22"/>
          <w:vertAlign w:val="superscript"/>
        </w:rPr>
        <w:t xml:space="preserve">62</w:t>
      </w:r>
      <w:r>
        <w:rPr>
          <w:rFonts w:ascii="Georgia" w:cs="Georgia" w:eastAsia="Georgia" w:hAnsi="Georgia"/>
          <w:color w:val="1B2A41"/>
          <w:sz w:val="22"/>
          <w:szCs w:val="22"/>
        </w:rPr>
        <w:t xml:space="preserve"> almost all of it produced by the fragmenting institutions of the companion paper. A studio that holds the system's story world, its clinicians' voices, and its patients' consented narratives, and that attributes experience outcomes to what it makes, replaces a procurement problem with an asset.</w:t>
      </w:r>
    </w:p>
    <w:p>
      <w:pPr>
        <w:pStyle w:val="Heading2"/>
        <w:keepNext/>
        <w:spacing w:after="120" w:before="280"/>
      </w:pPr>
      <w:r>
        <w:rPr>
          <w:rFonts w:ascii="Helvetica Neue" w:cs="Helvetica Neue" w:eastAsia="Helvetica Neue" w:hAnsi="Helvetica Neue"/>
          <w:b/>
          <w:bCs/>
          <w:color w:val="B5432F"/>
          <w:sz w:val="26"/>
          <w:szCs w:val="26"/>
        </w:rPr>
        <w:t xml:space="preserve">For health brands and pharmaceutical companies</w:t>
      </w:r>
    </w:p>
    <w:p>
      <w:pPr>
        <w:spacing w:after="160" w:line="300"/>
        <w:jc w:val="left"/>
      </w:pPr>
      <w:r>
        <w:rPr>
          <w:rFonts w:ascii="Georgia" w:cs="Georgia" w:eastAsia="Georgia" w:hAnsi="Georgia"/>
          <w:color w:val="1B2A41"/>
          <w:sz w:val="22"/>
          <w:szCs w:val="22"/>
        </w:rPr>
        <w:t xml:space="preserve">Direct-to-consumer prescription drug advertising exceeded $10 billion in 2024 and is shifting toward streaming and digital, where cinematic formats live.</w:t>
      </w:r>
      <w:r>
        <w:rPr>
          <w:rFonts w:ascii="Georgia" w:cs="Georgia" w:eastAsia="Georgia" w:hAnsi="Georgia"/>
          <w:color w:val="B5432F"/>
          <w:sz w:val="22"/>
          <w:szCs w:val="22"/>
          <w:vertAlign w:val="superscript"/>
        </w:rPr>
        <w:t xml:space="preserve">10</w:t>
      </w:r>
      <w:r>
        <w:rPr>
          <w:rFonts w:ascii="Georgia" w:cs="Georgia" w:eastAsia="Georgia" w:hAnsi="Georgia"/>
          <w:color w:val="1B2A41"/>
          <w:sz w:val="22"/>
          <w:szCs w:val="22"/>
        </w:rPr>
        <w:t xml:space="preserve"> The enforcement climate has turned: warning letters went from one in 2023 to thousands in 2025.</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The evidence says narrative in video moves belief and behavior where text does not,</w:t>
      </w:r>
      <w:r>
        <w:rPr>
          <w:rFonts w:ascii="Georgia" w:cs="Georgia" w:eastAsia="Georgia" w:hAnsi="Georgia"/>
          <w:color w:val="B5432F"/>
          <w:sz w:val="22"/>
          <w:szCs w:val="22"/>
          <w:vertAlign w:val="superscript"/>
        </w:rPr>
        <w:t xml:space="preserve">34</w:t>
      </w:r>
      <w:r>
        <w:rPr>
          <w:rFonts w:ascii="Georgia" w:cs="Georgia" w:eastAsia="Georgia" w:hAnsi="Georgia"/>
          <w:color w:val="1B2A41"/>
          <w:sz w:val="22"/>
          <w:szCs w:val="22"/>
        </w:rPr>
        <w:t xml:space="preserve"> and the regulation says every claim needs balance and every testimonial needs to be true. A studio built with fair balance, consent, and disclosure as checkpoints is the only form in which the evidence and the regulation are compatible at scale.</w:t>
      </w:r>
    </w:p>
    <w:p>
      <w:pPr>
        <w:pStyle w:val="Heading2"/>
        <w:keepNext/>
        <w:spacing w:after="120" w:before="280"/>
      </w:pPr>
      <w:r>
        <w:rPr>
          <w:rFonts w:ascii="Helvetica Neue" w:cs="Helvetica Neue" w:eastAsia="Helvetica Neue" w:hAnsi="Helvetica Neue"/>
          <w:b/>
          <w:bCs/>
          <w:color w:val="B5432F"/>
          <w:sz w:val="26"/>
          <w:szCs w:val="26"/>
        </w:rPr>
        <w:t xml:space="preserve">For digital health and coaching</w:t>
      </w:r>
    </w:p>
    <w:p>
      <w:pPr>
        <w:spacing w:after="160" w:line="300"/>
        <w:jc w:val="left"/>
      </w:pPr>
      <w:r>
        <w:rPr>
          <w:rFonts w:ascii="Georgia" w:cs="Georgia" w:eastAsia="Georgia" w:hAnsi="Georgia"/>
          <w:color w:val="1B2A41"/>
          <w:sz w:val="22"/>
          <w:szCs w:val="22"/>
        </w:rPr>
        <w:t xml:space="preserve">The law of attrition, named by Eysenbach in 2005, is that "a substantial proportion of users drop out before completion or stop using the application."</w:t>
      </w:r>
      <w:r>
        <w:rPr>
          <w:rFonts w:ascii="Georgia" w:cs="Georgia" w:eastAsia="Georgia" w:hAnsi="Georgia"/>
          <w:color w:val="B5432F"/>
          <w:sz w:val="22"/>
          <w:szCs w:val="22"/>
          <w:vertAlign w:val="superscript"/>
        </w:rPr>
        <w:t xml:space="preserve">63</w:t>
      </w:r>
      <w:r>
        <w:rPr>
          <w:rFonts w:ascii="Georgia" w:cs="Georgia" w:eastAsia="Georgia" w:hAnsi="Georgia"/>
          <w:color w:val="1B2A41"/>
          <w:sz w:val="22"/>
          <w:szCs w:val="22"/>
        </w:rPr>
        <w:t xml:space="preserve"> The median thirty-day retention of health apps is 3.3 percent.</w:t>
      </w:r>
      <w:r>
        <w:rPr>
          <w:rFonts w:ascii="Georgia" w:cs="Georgia" w:eastAsia="Georgia" w:hAnsi="Georgia"/>
          <w:color w:val="B5432F"/>
          <w:sz w:val="22"/>
          <w:szCs w:val="22"/>
          <w:vertAlign w:val="superscript"/>
        </w:rPr>
        <w:t xml:space="preserve">18</w:t>
      </w:r>
      <w:r>
        <w:rPr>
          <w:rFonts w:ascii="Georgia" w:cs="Georgia" w:eastAsia="Georgia" w:hAnsi="Georgia"/>
          <w:color w:val="1B2A41"/>
          <w:sz w:val="22"/>
          <w:szCs w:val="22"/>
        </w:rPr>
        <w:t xml:space="preserve"> The factors that raise adherence are personalization, timely prompts, and personal support.</w:t>
      </w:r>
      <w:r>
        <w:rPr>
          <w:rFonts w:ascii="Georgia" w:cs="Georgia" w:eastAsia="Georgia" w:hAnsi="Georgia"/>
          <w:color w:val="B5432F"/>
          <w:sz w:val="22"/>
          <w:szCs w:val="22"/>
          <w:vertAlign w:val="superscript"/>
        </w:rPr>
        <w:t xml:space="preserve">19</w:t>
      </w:r>
      <w:r>
        <w:rPr>
          <w:rFonts w:ascii="Georgia" w:cs="Georgia" w:eastAsia="Georgia" w:hAnsi="Georgia"/>
          <w:color w:val="1B2A41"/>
          <w:sz w:val="22"/>
          <w:szCs w:val="22"/>
        </w:rPr>
        <w:t xml:space="preserve"> Video-based education improves patient knowledge in three quarters of studies and behavior in about half,</w:t>
      </w:r>
      <w:r>
        <w:rPr>
          <w:rFonts w:ascii="Georgia" w:cs="Georgia" w:eastAsia="Georgia" w:hAnsi="Georgia"/>
          <w:color w:val="B5432F"/>
          <w:sz w:val="22"/>
          <w:szCs w:val="22"/>
          <w:vertAlign w:val="superscript"/>
        </w:rPr>
        <w:t xml:space="preserve">64</w:t>
      </w:r>
      <w:r>
        <w:rPr>
          <w:rFonts w:ascii="Georgia" w:cs="Georgia" w:eastAsia="Georgia" w:hAnsi="Georgia"/>
          <w:color w:val="1B2A41"/>
          <w:sz w:val="22"/>
          <w:szCs w:val="22"/>
        </w:rPr>
        <w:t xml:space="preserve"> which argues for pairing narrative with coaching rather than replacing it. A studio that delivers a brief, cinematic, consented story at the moment a person needs it, inside the coaching relationship, is the form the attrition evidence points to.</w:t>
      </w:r>
    </w:p>
    <w:p>
      <w:pPr>
        <w:pStyle w:val="Heading2"/>
        <w:keepNext/>
        <w:spacing w:after="120" w:before="280"/>
      </w:pPr>
      <w:r>
        <w:rPr>
          <w:rFonts w:ascii="Helvetica Neue" w:cs="Helvetica Neue" w:eastAsia="Helvetica Neue" w:hAnsi="Helvetica Neue"/>
          <w:b/>
          <w:bCs/>
          <w:color w:val="B5432F"/>
          <w:sz w:val="26"/>
          <w:szCs w:val="26"/>
        </w:rPr>
        <w:t xml:space="preserve">For public health</w:t>
      </w:r>
    </w:p>
    <w:p>
      <w:pPr>
        <w:spacing w:after="160" w:line="300"/>
        <w:jc w:val="left"/>
      </w:pPr>
      <w:r>
        <w:rPr>
          <w:rFonts w:ascii="Georgia" w:cs="Georgia" w:eastAsia="Georgia" w:hAnsi="Georgia"/>
          <w:color w:val="1B2A41"/>
          <w:sz w:val="22"/>
          <w:szCs w:val="22"/>
        </w:rPr>
        <w:t xml:space="preserve">The Tips campaign is the template and the warning. A billion-impression narrative campaign that cost $268 per healthy year of life and was run as a coalition that had to be rebuilt each cycle.</w:t>
      </w:r>
      <w:r>
        <w:rPr>
          <w:rFonts w:ascii="Georgia" w:cs="Georgia" w:eastAsia="Georgia" w:hAnsi="Georgia"/>
          <w:color w:val="B5432F"/>
          <w:sz w:val="22"/>
          <w:szCs w:val="22"/>
          <w:vertAlign w:val="superscript"/>
        </w:rPr>
        <w:t xml:space="preserve">49</w:t>
      </w:r>
      <w:r>
        <w:rPr>
          <w:rFonts w:ascii="Georgia" w:cs="Georgia" w:eastAsia="Georgia" w:hAnsi="Georgia"/>
          <w:color w:val="1B2A41"/>
          <w:sz w:val="22"/>
          <w:szCs w:val="22"/>
        </w:rPr>
        <w:t xml:space="preserve"> A studio keeps the intelligence: which stories, for which audiences, in which form, produced which quit rates, so that the next campaign begins from the last one's floor. In a trust environment where a third of parents believe a debunked vaccine claim,</w:t>
      </w:r>
      <w:r>
        <w:rPr>
          <w:rFonts w:ascii="Georgia" w:cs="Georgia" w:eastAsia="Georgia" w:hAnsi="Georgia"/>
          <w:color w:val="B5432F"/>
          <w:sz w:val="22"/>
          <w:szCs w:val="22"/>
          <w:vertAlign w:val="superscript"/>
        </w:rPr>
        <w:t xml:space="preserve">15</w:t>
      </w:r>
      <w:r>
        <w:rPr>
          <w:rFonts w:ascii="Georgia" w:cs="Georgia" w:eastAsia="Georgia" w:hAnsi="Georgia"/>
          <w:color w:val="1B2A41"/>
          <w:sz w:val="22"/>
          <w:szCs w:val="22"/>
        </w:rPr>
        <w:t xml:space="preserve"> the ability to reach the "malleable middle" with a true story from a trusted face is a public good, and it needs an institution.</w:t>
      </w:r>
    </w:p>
    <w:p>
      <w:pPr>
        <w:pStyle w:val="Heading2"/>
        <w:keepNext/>
        <w:spacing w:after="120" w:before="280"/>
      </w:pPr>
      <w:r>
        <w:rPr>
          <w:rFonts w:ascii="Helvetica Neue" w:cs="Helvetica Neue" w:eastAsia="Helvetica Neue" w:hAnsi="Helvetica Neue"/>
          <w:b/>
          <w:bCs/>
          <w:color w:val="B5432F"/>
          <w:sz w:val="26"/>
          <w:szCs w:val="26"/>
        </w:rPr>
        <w:t xml:space="preserve">What the leader keeps and stops paying for</w:t>
      </w:r>
    </w:p>
    <w:p>
      <w:pPr>
        <w:spacing w:after="160" w:line="300"/>
        <w:jc w:val="left"/>
      </w:pPr>
      <w:r>
        <w:rPr>
          <w:rFonts w:ascii="Georgia" w:cs="Georgia" w:eastAsia="Georgia" w:hAnsi="Georgia"/>
          <w:color w:val="1B2A41"/>
          <w:sz w:val="22"/>
          <w:szCs w:val="22"/>
        </w:rPr>
        <w:t xml:space="preserve">The leader keeps everything that matters: the science, the consent, the review, the direction, and the accumulated outcome intelligence, which belongs to the institution and persists across models, vendors, and staff. The leader stops paying for the coalition rebuilt each cycle, the story that reached the wrong population, the testimonial that could not show its consent, and the app that lost the patient on day thirty.</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Patient experience is already money. A story that changes it is already a clinical and a financial instrument. Nobody is accountable for it yet.</w:t>
      </w:r>
    </w:p>
    <w:p>
      <w:pPr>
        <w:pStyle w:val="Heading1"/>
        <w:keepNext/>
        <w:spacing w:after="280" w:before="520"/>
      </w:pPr>
      <w:r>
        <w:rPr>
          <w:rFonts w:ascii="Helvetica Neue" w:cs="Helvetica Neue" w:eastAsia="Helvetica Neue" w:hAnsi="Helvetica Neue"/>
          <w:b/>
          <w:bCs/>
          <w:color w:val="1B2A41"/>
          <w:sz w:val="40"/>
          <w:szCs w:val="40"/>
        </w:rPr>
        <w:t xml:space="preserve">9. Why the Studio Form Wins</w:t>
      </w:r>
    </w:p>
    <w:p>
      <w:pPr>
        <w:spacing w:after="160" w:line="300"/>
        <w:jc w:val="left"/>
      </w:pPr>
      <w:r>
        <w:rPr>
          <w:rFonts w:ascii="Georgia" w:cs="Georgia" w:eastAsia="Georgia" w:hAnsi="Georgia"/>
          <w:color w:val="1B2A41"/>
          <w:sz w:val="22"/>
          <w:szCs w:val="22"/>
        </w:rPr>
        <w:t xml:space="preserve">Generation is commoditizing. The craft of a story that changes a person is not.</w:t>
      </w:r>
    </w:p>
    <w:p>
      <w:pPr>
        <w:spacing w:after="160" w:line="300"/>
        <w:jc w:val="left"/>
      </w:pPr>
      <w:r>
        <w:rPr>
          <w:rFonts w:ascii="Georgia" w:cs="Georgia" w:eastAsia="Georgia" w:hAnsi="Georgia"/>
          <w:color w:val="1B2A41"/>
          <w:sz w:val="22"/>
          <w:szCs w:val="22"/>
        </w:rPr>
        <w:t xml:space="preserve">When a health video costs nothing to generate, the institutions that sold health videos have no business, and value migrates to whatever stays scarce. Three things stay scarce in health narrative, and they are the three the trials keep pointing at.</w:t>
      </w:r>
    </w:p>
    <w:p>
      <w:pPr>
        <w:spacing w:after="160" w:line="300"/>
        <w:jc w:val="left"/>
      </w:pPr>
      <w:r>
        <w:rPr>
          <w:rFonts w:ascii="Georgia" w:cs="Georgia" w:eastAsia="Georgia" w:hAnsi="Georgia"/>
          <w:b/>
          <w:bCs/>
          <w:color w:val="1B2A41"/>
          <w:sz w:val="22"/>
          <w:szCs w:val="22"/>
        </w:rPr>
        <w:t xml:space="preserve">The craft stays scarce.</w:t>
      </w:r>
      <w:r>
        <w:rPr>
          <w:rFonts w:ascii="Georgia" w:cs="Georgia" w:eastAsia="Georgia" w:hAnsi="Georgia"/>
          <w:color w:val="1B2A41"/>
          <w:sz w:val="22"/>
          <w:szCs w:val="22"/>
        </w:rPr>
        <w:t xml:space="preserve"> Audio and video narrative moves people and text does not.</w:t>
      </w:r>
      <w:r>
        <w:rPr>
          <w:rFonts w:ascii="Georgia" w:cs="Georgia" w:eastAsia="Georgia" w:hAnsi="Georgia"/>
          <w:color w:val="B5432F"/>
          <w:sz w:val="22"/>
          <w:szCs w:val="22"/>
          <w:vertAlign w:val="superscript"/>
        </w:rPr>
        <w:t xml:space="preserve">34</w:t>
      </w:r>
      <w:r>
        <w:rPr>
          <w:rFonts w:ascii="Georgia" w:cs="Georgia" w:eastAsia="Georgia" w:hAnsi="Georgia"/>
          <w:color w:val="1B2A41"/>
          <w:sz w:val="22"/>
          <w:szCs w:val="22"/>
        </w:rPr>
        <w:t xml:space="preserve"> Authored narrative synchronizes two-thirds of the cortex and unstructured footage synchronizes almost none of it.</w:t>
      </w:r>
      <w:r>
        <w:rPr>
          <w:rFonts w:ascii="Georgia" w:cs="Georgia" w:eastAsia="Georgia" w:hAnsi="Georgia"/>
          <w:color w:val="B5432F"/>
          <w:sz w:val="22"/>
          <w:szCs w:val="22"/>
          <w:vertAlign w:val="superscript"/>
        </w:rPr>
        <w:t xml:space="preserve">37</w:t>
      </w:r>
      <w:r>
        <w:rPr>
          <w:rFonts w:ascii="Georgia" w:cs="Georgia" w:eastAsia="Georgia" w:hAnsi="Georgia"/>
          <w:color w:val="1B2A41"/>
          <w:sz w:val="22"/>
          <w:szCs w:val="22"/>
        </w:rPr>
        <w:t xml:space="preserve"> The effect is strongest in the populations that need it most and vanishes in the ones that do not.</w:t>
      </w:r>
      <w:r>
        <w:rPr>
          <w:rFonts w:ascii="Georgia" w:cs="Georgia" w:eastAsia="Georgia" w:hAnsi="Georgia"/>
          <w:color w:val="B5432F"/>
          <w:sz w:val="22"/>
          <w:szCs w:val="22"/>
          <w:vertAlign w:val="superscript"/>
        </w:rPr>
        <w:t xml:space="preserve">29</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That is a craft with a dose, and dosing is a discipline.</w:t>
      </w:r>
    </w:p>
    <w:p>
      <w:pPr>
        <w:spacing w:after="160" w:line="300"/>
        <w:jc w:val="left"/>
      </w:pPr>
      <w:r>
        <w:rPr>
          <w:rFonts w:ascii="Georgia" w:cs="Georgia" w:eastAsia="Georgia" w:hAnsi="Georgia"/>
          <w:b/>
          <w:bCs/>
          <w:color w:val="1B2A41"/>
          <w:sz w:val="22"/>
          <w:szCs w:val="22"/>
        </w:rPr>
        <w:t xml:space="preserve">The intelligence stays scarce.</w:t>
      </w:r>
      <w:r>
        <w:rPr>
          <w:rFonts w:ascii="Georgia" w:cs="Georgia" w:eastAsia="Georgia" w:hAnsi="Georgia"/>
          <w:color w:val="1B2A41"/>
          <w:sz w:val="22"/>
          <w:szCs w:val="22"/>
        </w:rPr>
        <w:t xml:space="preserve"> No general model knows this hospital's patients, this coach's members, or this agency's malleable middle, and no general model can be told which of its stories moved blood pressure last quarter. The knowledge of what to make, for whom, in the language of a director and the discipline of a clinician, held in a system that persists and learns from outcomes, exists nowhere today.</w:t>
      </w:r>
    </w:p>
    <w:p>
      <w:pPr>
        <w:spacing w:after="160" w:line="300"/>
        <w:jc w:val="left"/>
      </w:pPr>
      <w:r>
        <w:rPr>
          <w:rFonts w:ascii="Georgia" w:cs="Georgia" w:eastAsia="Georgia" w:hAnsi="Georgia"/>
          <w:b/>
          <w:bCs/>
          <w:color w:val="1B2A41"/>
          <w:sz w:val="22"/>
          <w:szCs w:val="22"/>
        </w:rPr>
        <w:t xml:space="preserve">The accountability stays scarce.</w:t>
      </w:r>
      <w:r>
        <w:rPr>
          <w:rFonts w:ascii="Georgia" w:cs="Georgia" w:eastAsia="Georgia" w:hAnsi="Georgia"/>
          <w:color w:val="1B2A41"/>
          <w:sz w:val="22"/>
          <w:szCs w:val="22"/>
        </w:rPr>
        <w:t xml:space="preserve"> Health communication is the most regulated storytelling in the world, the public is losing trust in every source at once, and a majority now takes AI health content as reliable while a majority also distrusts AI in their own care.</w:t>
      </w:r>
      <w:r>
        <w:rPr>
          <w:rFonts w:ascii="Georgia" w:cs="Georgia" w:eastAsia="Georgia" w:hAnsi="Georgia"/>
          <w:color w:val="B5432F"/>
          <w:sz w:val="22"/>
          <w:szCs w:val="22"/>
          <w:vertAlign w:val="superscript"/>
        </w:rPr>
        <w:t xml:space="preserve">9</w:t>
      </w:r>
      <w:r>
        <w:rPr>
          <w:rFonts w:ascii="Georgia" w:cs="Georgia" w:eastAsia="Georgia" w:hAnsi="Georgia"/>
          <w:color w:val="B5432F"/>
          <w:sz w:val="22"/>
          <w:szCs w:val="22"/>
          <w:vertAlign w:val="superscript"/>
        </w:rPr>
        <w:t xml:space="preserve">17</w:t>
      </w:r>
      <w:r>
        <w:rPr>
          <w:rFonts w:ascii="Georgia" w:cs="Georgia" w:eastAsia="Georgia" w:hAnsi="Georgia"/>
          <w:color w:val="1B2A41"/>
          <w:sz w:val="22"/>
          <w:szCs w:val="22"/>
        </w:rPr>
        <w:t xml:space="preserve"> The institution that can show, for every story, who consented, who reviewed, what was disclosed, and what happened next is the one that earns the trust the others are spending.</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craft has a dose. The intelligence has an owner. The accountability has a record. The studio is the institution that holds all three.</w:t>
      </w:r>
    </w:p>
    <w:p>
      <w:pPr>
        <w:spacing w:after="160" w:line="300"/>
        <w:jc w:val="left"/>
      </w:pPr>
      <w:r>
        <w:rPr>
          <w:rFonts w:ascii="Georgia" w:cs="Georgia" w:eastAsia="Georgia" w:hAnsi="Georgia"/>
          <w:color w:val="1B2A41"/>
          <w:sz w:val="22"/>
          <w:szCs w:val="22"/>
        </w:rPr>
        <w:t xml:space="preserve">The studio form holds all three, as it held them for the Cinematic Intelligence Studio, with the outcome changed. The companion paper argued that the film industry itself is choosing the studio form for AI. The public health record argues that its greatest narrative successes were studio outcomes achieved without a studio. The category this paper names is the institution that makes those outcomes repeatable.</w:t>
      </w:r>
    </w:p>
    <w:p>
      <w:pPr>
        <w:pStyle w:val="Heading1"/>
        <w:keepNext/>
        <w:spacing w:after="280" w:before="520"/>
      </w:pPr>
      <w:r>
        <w:rPr>
          <w:rFonts w:ascii="Helvetica Neue" w:cs="Helvetica Neue" w:eastAsia="Helvetica Neue" w:hAnsi="Helvetica Neue"/>
          <w:b/>
          <w:bCs/>
          <w:color w:val="1B2A41"/>
          <w:sz w:val="40"/>
          <w:szCs w:val="40"/>
        </w:rPr>
        <w:t xml:space="preserve">10. Conclusion: The Story Is a Clinical Variable</w:t>
      </w:r>
    </w:p>
    <w:p>
      <w:pPr>
        <w:spacing w:after="160" w:line="300"/>
        <w:jc w:val="left"/>
      </w:pPr>
      <w:r>
        <w:rPr>
          <w:rFonts w:ascii="Georgia" w:cs="Georgia" w:eastAsia="Georgia" w:hAnsi="Georgia"/>
          <w:color w:val="1B2A41"/>
          <w:sz w:val="22"/>
          <w:szCs w:val="22"/>
        </w:rPr>
        <w:t xml:space="preserve">Medicine cut the story because the story was slow, unmeasurable, and unbillable, and then discovered, one randomized trial at a time, that the story was moving the outcomes it was measuring. Eleven millimeters of mercury. Twelve points of lung function. A doubled screening rate among the women least likely to be screened. A million former smokers. The evidence is old enough to have a meta-analysis and honest enough to have nulls, and it has never had an institution.</w:t>
      </w:r>
    </w:p>
    <w:p>
      <w:pPr>
        <w:spacing w:after="160" w:line="300"/>
        <w:jc w:val="left"/>
      </w:pPr>
      <w:r>
        <w:rPr>
          <w:rFonts w:ascii="Georgia" w:cs="Georgia" w:eastAsia="Georgia" w:hAnsi="Georgia"/>
          <w:color w:val="1B2A41"/>
          <w:sz w:val="22"/>
          <w:szCs w:val="22"/>
        </w:rPr>
        <w:t xml:space="preserve">Abundant generation makes the absence dangerous. The machines can now produce health stories without limit, for any audience and no audience, with no knowledge of who is watching, no record of consent, and no idea what happened to the person afterward. In an environment where trust in every source is falling and lived experience has become a credential, an ungoverned health story is a hazard with a face.</w:t>
      </w:r>
    </w:p>
    <w:p>
      <w:pPr>
        <w:spacing w:after="160" w:line="300"/>
        <w:jc w:val="left"/>
      </w:pPr>
      <w:r>
        <w:rPr>
          <w:rFonts w:ascii="Georgia" w:cs="Georgia" w:eastAsia="Georgia" w:hAnsi="Georgia"/>
          <w:color w:val="1B2A41"/>
          <w:sz w:val="22"/>
          <w:szCs w:val="22"/>
        </w:rPr>
        <w:t xml:space="preserve">A Narrative Intelligence Studio is the institution that makes the story accountable. It makes narrative in motion, because that is the form the evidence says works. It holds an intelligence about the people it serves and what has worked for them, because a story to the wrong person is an expense. It governs consent, review, and disclosure as the design brief rather than the compliance step. And it measures the outcome and writes it back, so the craft compounds instead of resetting with every campaign and every model.</w:t>
      </w:r>
    </w:p>
    <w:p>
      <w:pPr>
        <w:spacing w:after="160" w:line="300"/>
        <w:jc w:val="left"/>
      </w:pPr>
      <w:r>
        <w:rPr>
          <w:rFonts w:ascii="Georgia" w:cs="Georgia" w:eastAsia="Georgia" w:hAnsi="Georgia"/>
          <w:color w:val="1B2A41"/>
          <w:sz w:val="22"/>
          <w:szCs w:val="22"/>
        </w:rPr>
        <w:t xml:space="preserve">The Lucas Museum opens this month on the belief that combining pictures and stories creates a society. The trials say that it can also lower a blood pressure, keep a patient in treatment, and get a woman screened who would otherwise not have been. Those are the same power at different scales. The studio is where the second one gets an institution.</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evidence is old enough to have a meta-analysis and honest enough to have nulls. It has never had an institution.</w:t>
      </w:r>
    </w:p>
    <w:p>
      <w:pPr>
        <w:spacing w:after="160" w:line="300"/>
        <w:jc w:val="left"/>
      </w:pPr>
      <w:r>
        <w:rPr>
          <w:rFonts w:ascii="Georgia" w:cs="Georgia" w:eastAsia="Georgia" w:hAnsi="Georgia"/>
          <w:b/>
          <w:bCs/>
          <w:color w:val="1B2A41"/>
          <w:sz w:val="22"/>
          <w:szCs w:val="22"/>
        </w:rPr>
        <w:t xml:space="preserve">Narrative.</w:t>
      </w:r>
      <w:r>
        <w:rPr>
          <w:rFonts w:ascii="Georgia" w:cs="Georgia" w:eastAsia="Georgia" w:hAnsi="Georgia"/>
          <w:color w:val="1B2A41"/>
          <w:sz w:val="22"/>
          <w:szCs w:val="22"/>
        </w:rPr>
        <w:t xml:space="preserve"> Intelligence. Studio. Three words, one institution, accountable for what a story does.</w:t>
      </w:r>
    </w:p>
    <w:p>
      <w:pPr>
        <w:pStyle w:val="Heading1"/>
        <w:keepNext/>
        <w:pageBreakBefore/>
        <w:spacing w:after="280" w:before="0"/>
      </w:pPr>
      <w:r>
        <w:rPr>
          <w:rFonts w:ascii="Helvetica Neue" w:cs="Helvetica Neue" w:eastAsia="Helvetica Neue" w:hAnsi="Helvetica Neue"/>
          <w:b/>
          <w:bCs/>
          <w:color w:val="1B2A41"/>
          <w:sz w:val="40"/>
          <w:szCs w:val="40"/>
        </w:rPr>
        <w:t xml:space="preserve">Putting the Definition into Practice</w:t>
      </w:r>
    </w:p>
    <w:p>
      <w:pPr>
        <w:spacing w:after="160" w:line="300"/>
        <w:jc w:val="left"/>
      </w:pPr>
      <w:r>
        <w:rPr>
          <w:rFonts w:ascii="Georgia" w:cs="Georgia" w:eastAsia="Georgia" w:hAnsi="Georgia"/>
          <w:color w:val="1B2A41"/>
          <w:sz w:val="22"/>
          <w:szCs w:val="22"/>
        </w:rPr>
        <w:t xml:space="preserve">Ritual Ads is a cinematic intelligence studio, powered by Ritual Engine.</w:t>
      </w:r>
    </w:p>
    <w:p>
      <w:pPr>
        <w:spacing w:after="160" w:line="300"/>
        <w:jc w:val="left"/>
      </w:pPr>
      <w:r>
        <w:rPr>
          <w:rFonts w:ascii="Georgia" w:cs="Georgia" w:eastAsia="Georgia" w:hAnsi="Georgia"/>
          <w:color w:val="1B2A41"/>
          <w:sz w:val="22"/>
          <w:szCs w:val="22"/>
        </w:rPr>
        <w:t xml:space="preserve">Ritual Ads is applying the architecture this paper describes to health and wellbeing, beginning with short cinematic narratives delivered inside digital health-coaching experiences at the moments a person is most ready to change. Ritual Engine, Ritual Ads' implementation of the Large Brand Model architecture, holds each partner's voice, story world, consent and review rules, and outcome record, and uses them to direct, constrain, and evaluate the generation models producing the work. The partner that holds the person's care holds the science, the consent, and the protected data. The studio holds the craft and the record. The outcome is measured and written back.</w:t>
      </w:r>
    </w:p>
    <w:p>
      <w:pPr>
        <w:spacing w:after="160" w:line="300"/>
        <w:jc w:val="left"/>
      </w:pPr>
      <w:r>
        <w:rPr>
          <w:rFonts w:ascii="Georgia" w:cs="Georgia" w:eastAsia="Georgia" w:hAnsi="Georgia"/>
          <w:color w:val="1B2A41"/>
          <w:sz w:val="22"/>
          <w:szCs w:val="22"/>
        </w:rPr>
        <w:t xml:space="preserve">The studio begins with motion because motion is where the evidence is, and holds itself to the standard narrative medicine set for its practitioners: acknowledge, absorb, interpret, act.</w:t>
      </w:r>
    </w:p>
    <w:p>
      <w:pPr>
        <w:spacing w:after="160" w:line="300"/>
        <w:jc w:val="left"/>
      </w:pPr>
      <w:r>
        <w:rPr>
          <w:rFonts w:ascii="Georgia" w:cs="Georgia" w:eastAsia="Georgia" w:hAnsi="Georgia"/>
          <w:color w:val="1B2A41"/>
          <w:sz w:val="22"/>
          <w:szCs w:val="22"/>
        </w:rPr>
        <w:t xml:space="preserve">AI-assisted, human-directed, brand-controlled.</w:t>
      </w:r>
    </w:p>
    <w:p>
      <w:pPr>
        <w:pStyle w:val="Heading1"/>
        <w:keepNext/>
        <w:pageBreakBefore/>
        <w:spacing w:after="280" w:before="0"/>
      </w:pPr>
      <w:r>
        <w:rPr>
          <w:rFonts w:ascii="Helvetica Neue" w:cs="Helvetica Neue" w:eastAsia="Helvetica Neue" w:hAnsi="Helvetica Neue"/>
          <w:b/>
          <w:bCs/>
          <w:color w:val="1B2A41"/>
          <w:sz w:val="40"/>
          <w:szCs w:val="40"/>
        </w:rPr>
        <w:t xml:space="preserve">Glossary</w:t>
      </w:r>
    </w:p>
    <w:p>
      <w:pPr>
        <w:spacing w:after="160" w:line="300"/>
      </w:pPr>
      <w:r>
        <w:rPr>
          <w:rFonts w:ascii="Georgia" w:cs="Georgia" w:eastAsia="Georgia" w:hAnsi="Georgia"/>
          <w:b/>
          <w:bCs/>
          <w:color w:val="1B2A41"/>
          <w:sz w:val="22"/>
          <w:szCs w:val="22"/>
        </w:rPr>
        <w:t xml:space="preserve">Narrative Intelligence Studio (NIS). </w:t>
      </w:r>
      <w:r>
        <w:rPr>
          <w:rFonts w:ascii="Georgia" w:cs="Georgia" w:eastAsia="Georgia" w:hAnsi="Georgia"/>
          <w:color w:val="1B2A41"/>
          <w:sz w:val="22"/>
          <w:szCs w:val="22"/>
        </w:rPr>
        <w:t xml:space="preserve">An institution that produces cinematic narrative for measurable outcomes in health and wellbeing through a persistent, governed intelligence; a Cinematic Intelligence Studio built for outcomes, holding craft, a person-specific intelligence, and an accountable brief-to-outcome operating model inside the rules of health communication.</w:t>
      </w:r>
    </w:p>
    <w:p>
      <w:pPr>
        <w:spacing w:after="160" w:line="300"/>
      </w:pPr>
      <w:r>
        <w:rPr>
          <w:rFonts w:ascii="Georgia" w:cs="Georgia" w:eastAsia="Georgia" w:hAnsi="Georgia"/>
          <w:b/>
          <w:bCs/>
          <w:color w:val="1B2A41"/>
          <w:sz w:val="22"/>
          <w:szCs w:val="22"/>
        </w:rPr>
        <w:t xml:space="preserve">Narrative medicine. </w:t>
      </w:r>
      <w:r>
        <w:rPr>
          <w:rFonts w:ascii="Georgia" w:cs="Georgia" w:eastAsia="Georgia" w:hAnsi="Georgia"/>
          <w:color w:val="1B2A41"/>
          <w:sz w:val="22"/>
          <w:szCs w:val="22"/>
        </w:rPr>
        <w:t xml:space="preserve">A model of medical practice, named by Rita Charon in 2001, built on narrative competence: the ability to acknowledge, absorb, interpret, and act on the stories of others.</w:t>
      </w:r>
    </w:p>
    <w:p>
      <w:pPr>
        <w:spacing w:after="160" w:line="300"/>
      </w:pPr>
      <w:r>
        <w:rPr>
          <w:rFonts w:ascii="Georgia" w:cs="Georgia" w:eastAsia="Georgia" w:hAnsi="Georgia"/>
          <w:b/>
          <w:bCs/>
          <w:color w:val="1B2A41"/>
          <w:sz w:val="22"/>
          <w:szCs w:val="22"/>
        </w:rPr>
        <w:t xml:space="preserve">Narrative intelligence. </w:t>
      </w:r>
      <w:r>
        <w:rPr>
          <w:rFonts w:ascii="Georgia" w:cs="Georgia" w:eastAsia="Georgia" w:hAnsi="Georgia"/>
          <w:color w:val="1B2A41"/>
          <w:sz w:val="22"/>
          <w:szCs w:val="22"/>
        </w:rPr>
        <w:t xml:space="preserve">A term coined in 1997 for the human ability to organize experience into narrative form, developed in AI and media studies; adopted here for an institutional intelligence specific to the people a studio serves.</w:t>
      </w:r>
    </w:p>
    <w:p>
      <w:pPr>
        <w:spacing w:after="160" w:line="300"/>
      </w:pPr>
      <w:r>
        <w:rPr>
          <w:rFonts w:ascii="Georgia" w:cs="Georgia" w:eastAsia="Georgia" w:hAnsi="Georgia"/>
          <w:b/>
          <w:bCs/>
          <w:color w:val="1B2A41"/>
          <w:sz w:val="22"/>
          <w:szCs w:val="22"/>
        </w:rPr>
        <w:t xml:space="preserve">Transportation. </w:t>
      </w:r>
      <w:r>
        <w:rPr>
          <w:rFonts w:ascii="Georgia" w:cs="Georgia" w:eastAsia="Georgia" w:hAnsi="Georgia"/>
          <w:color w:val="1B2A41"/>
          <w:sz w:val="22"/>
          <w:szCs w:val="22"/>
        </w:rPr>
        <w:t xml:space="preserve">The state of being immersed in a narrative world, combining attention, imagery, and feeling; the primary mechanism by which narratives change belief and behavior.</w:t>
      </w:r>
    </w:p>
    <w:p>
      <w:pPr>
        <w:spacing w:after="160" w:line="300"/>
      </w:pPr>
      <w:r>
        <w:rPr>
          <w:rFonts w:ascii="Georgia" w:cs="Georgia" w:eastAsia="Georgia" w:hAnsi="Georgia"/>
          <w:b/>
          <w:bCs/>
          <w:color w:val="1B2A41"/>
          <w:sz w:val="22"/>
          <w:szCs w:val="22"/>
        </w:rPr>
        <w:t xml:space="preserve">Identifiable victim effect. </w:t>
      </w:r>
      <w:r>
        <w:rPr>
          <w:rFonts w:ascii="Georgia" w:cs="Georgia" w:eastAsia="Georgia" w:hAnsi="Georgia"/>
          <w:color w:val="1B2A41"/>
          <w:sz w:val="22"/>
          <w:szCs w:val="22"/>
        </w:rPr>
        <w:t xml:space="preserve">The finding that people respond more strongly to one identified person than to statistics describing many, and that adding statistics to the identified person's story can reduce the response.</w:t>
      </w:r>
    </w:p>
    <w:p>
      <w:pPr>
        <w:spacing w:after="160" w:line="300"/>
      </w:pPr>
      <w:r>
        <w:rPr>
          <w:rFonts w:ascii="Georgia" w:cs="Georgia" w:eastAsia="Georgia" w:hAnsi="Georgia"/>
          <w:b/>
          <w:bCs/>
          <w:color w:val="1B2A41"/>
          <w:sz w:val="22"/>
          <w:szCs w:val="22"/>
        </w:rPr>
        <w:t xml:space="preserve">Expressive writing. </w:t>
      </w:r>
      <w:r>
        <w:rPr>
          <w:rFonts w:ascii="Georgia" w:cs="Georgia" w:eastAsia="Georgia" w:hAnsi="Georgia"/>
          <w:color w:val="1B2A41"/>
          <w:sz w:val="22"/>
          <w:szCs w:val="22"/>
        </w:rPr>
        <w:t xml:space="preserve">A narrative intervention in which patients write about stressful experiences; the paradigm behind the asthma, arthritis, and cancer trials cited in this paper.</w:t>
      </w:r>
    </w:p>
    <w:p>
      <w:pPr>
        <w:spacing w:after="160" w:line="300"/>
      </w:pPr>
      <w:r>
        <w:rPr>
          <w:rFonts w:ascii="Georgia" w:cs="Georgia" w:eastAsia="Georgia" w:hAnsi="Georgia"/>
          <w:b/>
          <w:bCs/>
          <w:color w:val="1B2A41"/>
          <w:sz w:val="22"/>
          <w:szCs w:val="22"/>
        </w:rPr>
        <w:t xml:space="preserve">Dignity therapy. </w:t>
      </w:r>
      <w:r>
        <w:rPr>
          <w:rFonts w:ascii="Georgia" w:cs="Georgia" w:eastAsia="Georgia" w:hAnsi="Georgia"/>
          <w:color w:val="1B2A41"/>
          <w:sz w:val="22"/>
          <w:szCs w:val="22"/>
        </w:rPr>
        <w:t xml:space="preserve">A narrative intervention for patients near the end of life, in which a recorded life narrative is edited into a document for the family.</w:t>
      </w:r>
    </w:p>
    <w:p>
      <w:pPr>
        <w:spacing w:after="160" w:line="300"/>
      </w:pPr>
      <w:r>
        <w:rPr>
          <w:rFonts w:ascii="Georgia" w:cs="Georgia" w:eastAsia="Georgia" w:hAnsi="Georgia"/>
          <w:b/>
          <w:bCs/>
          <w:color w:val="1B2A41"/>
          <w:sz w:val="22"/>
          <w:szCs w:val="22"/>
        </w:rPr>
        <w:t xml:space="preserve">Entertainment-education. </w:t>
      </w:r>
      <w:r>
        <w:rPr>
          <w:rFonts w:ascii="Georgia" w:cs="Georgia" w:eastAsia="Georgia" w:hAnsi="Georgia"/>
          <w:color w:val="1B2A41"/>
          <w:sz w:val="22"/>
          <w:szCs w:val="22"/>
        </w:rPr>
        <w:t xml:space="preserve">The deliberate design of entertainment, beginning with Miguel Sabido's telenovelas in the 1970s, to produce measured social and health outcomes.</w:t>
      </w:r>
    </w:p>
    <w:p>
      <w:pPr>
        <w:spacing w:after="160" w:line="300"/>
      </w:pPr>
      <w:r>
        <w:rPr>
          <w:rFonts w:ascii="Georgia" w:cs="Georgia" w:eastAsia="Georgia" w:hAnsi="Georgia"/>
          <w:b/>
          <w:bCs/>
          <w:color w:val="1B2A41"/>
          <w:sz w:val="22"/>
          <w:szCs w:val="22"/>
        </w:rPr>
        <w:t xml:space="preserve">Fair balance. </w:t>
      </w:r>
      <w:r>
        <w:rPr>
          <w:rFonts w:ascii="Georgia" w:cs="Georgia" w:eastAsia="Georgia" w:hAnsi="Georgia"/>
          <w:color w:val="1B2A41"/>
          <w:sz w:val="22"/>
          <w:szCs w:val="22"/>
        </w:rPr>
        <w:t xml:space="preserve">The regulatory requirement that communications about a treatment present risks alongside benefits.</w:t>
      </w:r>
    </w:p>
    <w:p>
      <w:pPr>
        <w:spacing w:after="160" w:line="300"/>
      </w:pPr>
      <w:r>
        <w:rPr>
          <w:rFonts w:ascii="Georgia" w:cs="Georgia" w:eastAsia="Georgia" w:hAnsi="Georgia"/>
          <w:b/>
          <w:bCs/>
          <w:color w:val="1B2A41"/>
          <w:sz w:val="22"/>
          <w:szCs w:val="22"/>
        </w:rPr>
        <w:t xml:space="preserve">Authorization. </w:t>
      </w:r>
      <w:r>
        <w:rPr>
          <w:rFonts w:ascii="Georgia" w:cs="Georgia" w:eastAsia="Georgia" w:hAnsi="Georgia"/>
          <w:color w:val="1B2A41"/>
          <w:sz w:val="22"/>
          <w:szCs w:val="22"/>
        </w:rPr>
        <w:t xml:space="preserve">Under the HIPAA Privacy Rule, the written permission required before protected health information is used for marketing.</w:t>
      </w:r>
    </w:p>
    <w:p>
      <w:pPr>
        <w:spacing w:after="160" w:line="300"/>
      </w:pPr>
      <w:r>
        <w:rPr>
          <w:rFonts w:ascii="Georgia" w:cs="Georgia" w:eastAsia="Georgia" w:hAnsi="Georgia"/>
          <w:b/>
          <w:bCs/>
          <w:color w:val="1B2A41"/>
          <w:sz w:val="22"/>
          <w:szCs w:val="22"/>
        </w:rPr>
        <w:t xml:space="preserve">Large Brand Model (LBM). </w:t>
      </w:r>
      <w:r>
        <w:rPr>
          <w:rFonts w:ascii="Georgia" w:cs="Georgia" w:eastAsia="Georgia" w:hAnsi="Georgia"/>
          <w:color w:val="1B2A41"/>
          <w:sz w:val="22"/>
          <w:szCs w:val="22"/>
        </w:rPr>
        <w:t xml:space="preserve">A persistent, model-agnostic intelligence that encodes an institution's identity, cinematic grammar, governance history, and outcome record; the architecture at the center of a Narrative Intelligence Studio.</w:t>
      </w:r>
    </w:p>
    <w:p>
      <w:pPr>
        <w:spacing w:after="160" w:line="300"/>
      </w:pPr>
      <w:r>
        <w:rPr>
          <w:rFonts w:ascii="Georgia" w:cs="Georgia" w:eastAsia="Georgia" w:hAnsi="Georgia"/>
          <w:b/>
          <w:bCs/>
          <w:color w:val="1B2A41"/>
          <w:sz w:val="22"/>
          <w:szCs w:val="22"/>
        </w:rPr>
        <w:t xml:space="preserve">Cinematic Intelligence Studio (CIS). </w:t>
      </w:r>
      <w:r>
        <w:rPr>
          <w:rFonts w:ascii="Georgia" w:cs="Georgia" w:eastAsia="Georgia" w:hAnsi="Georgia"/>
          <w:color w:val="1B2A41"/>
          <w:sz w:val="22"/>
          <w:szCs w:val="22"/>
        </w:rPr>
        <w:t xml:space="preserve">The companion category: an institution that makes cinematic commercial creative through a persistent, governed intelligence, accountable from brief to performance.</w:t>
      </w:r>
    </w:p>
    <w:p>
      <w:pPr>
        <w:spacing w:after="160" w:line="300"/>
      </w:pPr>
      <w:r>
        <w:rPr>
          <w:rFonts w:ascii="Georgia" w:cs="Georgia" w:eastAsia="Georgia" w:hAnsi="Georgia"/>
          <w:b/>
          <w:bCs/>
          <w:color w:val="1B2A41"/>
          <w:sz w:val="22"/>
          <w:szCs w:val="22"/>
        </w:rPr>
        <w:t xml:space="preserve">Narrative art. </w:t>
      </w:r>
      <w:r>
        <w:rPr>
          <w:rFonts w:ascii="Georgia" w:cs="Georgia" w:eastAsia="Georgia" w:hAnsi="Georgia"/>
          <w:color w:val="1B2A41"/>
          <w:sz w:val="22"/>
          <w:szCs w:val="22"/>
        </w:rPr>
        <w:t xml:space="preserve">In the Lucas Museum's usage, art that tells a story; in George Lucas's words, "the story of a society, what the common beliefs are that hold it together."</w:t>
      </w:r>
    </w:p>
    <w:p>
      <w:pPr>
        <w:spacing w:after="160" w:line="300"/>
      </w:pPr>
      <w:r>
        <w:rPr>
          <w:rFonts w:ascii="Georgia" w:cs="Georgia" w:eastAsia="Georgia" w:hAnsi="Georgia"/>
          <w:b/>
          <w:bCs/>
          <w:color w:val="1B2A41"/>
          <w:sz w:val="22"/>
          <w:szCs w:val="22"/>
        </w:rPr>
        <w:t xml:space="preserve">Ritual Engine. </w:t>
      </w:r>
      <w:r>
        <w:rPr>
          <w:rFonts w:ascii="Georgia" w:cs="Georgia" w:eastAsia="Georgia" w:hAnsi="Georgia"/>
          <w:color w:val="1B2A41"/>
          <w:sz w:val="22"/>
          <w:szCs w:val="22"/>
        </w:rPr>
        <w:t xml:space="preserve">Ritual Ads' implementation of the Large Brand Model architecture.</w:t>
      </w:r>
    </w:p>
    <w:p>
      <w:pPr>
        <w:pStyle w:val="Heading1"/>
        <w:keepNext/>
        <w:pageBreakBefore/>
        <w:spacing w:after="280" w:before="0"/>
      </w:pPr>
      <w:r>
        <w:rPr>
          <w:rFonts w:ascii="Helvetica Neue" w:cs="Helvetica Neue" w:eastAsia="Helvetica Neue" w:hAnsi="Helvetica Neue"/>
          <w:b/>
          <w:bCs/>
          <w:color w:val="1B2A41"/>
          <w:sz w:val="40"/>
          <w:szCs w:val="40"/>
        </w:rPr>
        <w:t xml:space="preserve">Notes</w:t>
      </w:r>
    </w:p>
    <w:p>
      <w:pPr>
        <w:spacing w:after="200"/>
      </w:pPr>
      <w:r>
        <w:rPr>
          <w:rFonts w:ascii="Georgia" w:cs="Georgia" w:eastAsia="Georgia" w:hAnsi="Georgia"/>
          <w:i/>
          <w:iCs/>
          <w:color w:val="5C6B7A"/>
          <w:sz w:val="20"/>
          <w:szCs w:val="20"/>
        </w:rPr>
        <w:t xml:space="preserve">Sources are numbered in order of first citation. Each was retrieved and verified between September 1 and September 5, 2026. Where a figure is self-reported by a vendor or trade body, the text says so.</w:t>
      </w:r>
    </w:p>
    <w:p>
      <w:pPr>
        <w:tabs>
          <w:tab w:val="left" w:pos="480"/>
        </w:tabs>
        <w:spacing w:after="100" w:line="260"/>
        <w:ind w:left="480" w:hanging="480"/>
      </w:pPr>
      <w:r>
        <w:rPr>
          <w:rFonts w:ascii="Georgia" w:cs="Georgia" w:eastAsia="Georgia" w:hAnsi="Georgia"/>
          <w:color w:val="B5432F"/>
          <w:sz w:val="19"/>
          <w:szCs w:val="19"/>
        </w:rPr>
        <w:t xml:space="preserve">1.	</w:t>
      </w:r>
      <w:r>
        <w:rPr>
          <w:rFonts w:ascii="Georgia" w:cs="Georgia" w:eastAsia="Georgia" w:hAnsi="Georgia"/>
          <w:color w:val="1B2A41"/>
          <w:sz w:val="19"/>
          <w:szCs w:val="19"/>
        </w:rPr>
        <w:t xml:space="preserve">Rita Charon. "Narrative Medicine: A Model for Empathy, Reflection, Profession, and Trust." JAMA 286, no. 15 (October 17, 2001): 1897-1902. </w:t>
      </w:r>
      <w:r>
        <w:rPr>
          <w:rFonts w:ascii="Georgia" w:cs="Georgia" w:eastAsia="Georgia" w:hAnsi="Georgia"/>
          <w:color w:val="5C6B7A"/>
          <w:sz w:val="19"/>
          <w:szCs w:val="19"/>
        </w:rPr>
        <w:t xml:space="preserve">https://doi.org/10.1001/jama.286.15.1897</w:t>
      </w:r>
    </w:p>
    <w:p>
      <w:pPr>
        <w:tabs>
          <w:tab w:val="left" w:pos="480"/>
        </w:tabs>
        <w:spacing w:after="100" w:line="260"/>
        <w:ind w:left="480" w:hanging="480"/>
      </w:pPr>
      <w:r>
        <w:rPr>
          <w:rFonts w:ascii="Georgia" w:cs="Georgia" w:eastAsia="Georgia" w:hAnsi="Georgia"/>
          <w:color w:val="B5432F"/>
          <w:sz w:val="19"/>
          <w:szCs w:val="19"/>
        </w:rPr>
        <w:t xml:space="preserve">2.	</w:t>
      </w:r>
      <w:r>
        <w:rPr>
          <w:rFonts w:ascii="Georgia" w:cs="Georgia" w:eastAsia="Georgia" w:hAnsi="Georgia"/>
          <w:color w:val="1B2A41"/>
          <w:sz w:val="19"/>
          <w:szCs w:val="19"/>
        </w:rPr>
        <w:t xml:space="preserve">Thomas K. Houston et al. "Culturally Appropriate Storytelling to Improve Blood Pressure: A Randomized Trial." Annals of Internal Medicine 154, no. 2 (January 18, 2011): 77-84. </w:t>
      </w:r>
      <w:r>
        <w:rPr>
          <w:rFonts w:ascii="Georgia" w:cs="Georgia" w:eastAsia="Georgia" w:hAnsi="Georgia"/>
          <w:color w:val="5C6B7A"/>
          <w:sz w:val="19"/>
          <w:szCs w:val="19"/>
        </w:rPr>
        <w:t xml:space="preserve">https://doi.org/10.7326/0003-4819-154-2-201101180-00004</w:t>
      </w:r>
    </w:p>
    <w:p>
      <w:pPr>
        <w:tabs>
          <w:tab w:val="left" w:pos="480"/>
        </w:tabs>
        <w:spacing w:after="100" w:line="260"/>
        <w:ind w:left="480" w:hanging="480"/>
      </w:pPr>
      <w:r>
        <w:rPr>
          <w:rFonts w:ascii="Georgia" w:cs="Georgia" w:eastAsia="Georgia" w:hAnsi="Georgia"/>
          <w:color w:val="B5432F"/>
          <w:sz w:val="19"/>
          <w:szCs w:val="19"/>
        </w:rPr>
        <w:t xml:space="preserve">3.	</w:t>
      </w:r>
      <w:r>
        <w:rPr>
          <w:rFonts w:ascii="Georgia" w:cs="Georgia" w:eastAsia="Georgia" w:hAnsi="Georgia"/>
          <w:color w:val="1B2A41"/>
          <w:sz w:val="19"/>
          <w:szCs w:val="19"/>
        </w:rPr>
        <w:t xml:space="preserve">Joshua M. Smyth, Arthur A. Stone, Adam Hurewitz, and Alan Kaell. "Effects of Writing About Stressful Experiences on Symptom Reduction in Patients With Asthma or Rheumatoid Arthritis: A Randomized Trial." JAMA 281, no. 14 (April 14, 1999): 1304-1309. </w:t>
      </w:r>
      <w:r>
        <w:rPr>
          <w:rFonts w:ascii="Georgia" w:cs="Georgia" w:eastAsia="Georgia" w:hAnsi="Georgia"/>
          <w:color w:val="5C6B7A"/>
          <w:sz w:val="19"/>
          <w:szCs w:val="19"/>
        </w:rPr>
        <w:t xml:space="preserve">https://doi.org/10.1001/jama.281.14.1304</w:t>
      </w:r>
    </w:p>
    <w:p>
      <w:pPr>
        <w:tabs>
          <w:tab w:val="left" w:pos="480"/>
        </w:tabs>
        <w:spacing w:after="100" w:line="260"/>
        <w:ind w:left="480" w:hanging="480"/>
      </w:pPr>
      <w:r>
        <w:rPr>
          <w:rFonts w:ascii="Georgia" w:cs="Georgia" w:eastAsia="Georgia" w:hAnsi="Georgia"/>
          <w:color w:val="B5432F"/>
          <w:sz w:val="19"/>
          <w:szCs w:val="19"/>
        </w:rPr>
        <w:t xml:space="preserve">4.	</w:t>
      </w:r>
      <w:r>
        <w:rPr>
          <w:rFonts w:ascii="Georgia" w:cs="Georgia" w:eastAsia="Georgia" w:hAnsi="Georgia"/>
          <w:color w:val="1B2A41"/>
          <w:sz w:val="19"/>
          <w:szCs w:val="19"/>
        </w:rPr>
        <w:t xml:space="preserve">Emine Çetiner, Selma Turan Kavradim, and Zeynep Özer. "Effect of Narrative Interventions on Psychological Outcomes, Sleep Quality and Quality of Life in Patients With Cancer: Systematic Review and Meta-Analysis of Randomized Controlled Trials." European Journal of Oncology Nursing 83 (August 2026): 103259. </w:t>
      </w:r>
      <w:r>
        <w:rPr>
          <w:rFonts w:ascii="Georgia" w:cs="Georgia" w:eastAsia="Georgia" w:hAnsi="Georgia"/>
          <w:color w:val="5C6B7A"/>
          <w:sz w:val="19"/>
          <w:szCs w:val="19"/>
        </w:rPr>
        <w:t xml:space="preserve">https://doi.org/10.1016/j.ejon.2026.103259</w:t>
      </w:r>
    </w:p>
    <w:p>
      <w:pPr>
        <w:tabs>
          <w:tab w:val="left" w:pos="480"/>
        </w:tabs>
        <w:spacing w:after="100" w:line="260"/>
        <w:ind w:left="480" w:hanging="480"/>
      </w:pPr>
      <w:r>
        <w:rPr>
          <w:rFonts w:ascii="Georgia" w:cs="Georgia" w:eastAsia="Georgia" w:hAnsi="Georgia"/>
          <w:color w:val="B5432F"/>
          <w:sz w:val="19"/>
          <w:szCs w:val="19"/>
        </w:rPr>
        <w:t xml:space="preserve">5.	</w:t>
      </w:r>
      <w:r>
        <w:rPr>
          <w:rFonts w:ascii="Georgia" w:cs="Georgia" w:eastAsia="Georgia" w:hAnsi="Georgia"/>
          <w:color w:val="1B2A41"/>
          <w:sz w:val="19"/>
          <w:szCs w:val="19"/>
        </w:rPr>
        <w:t xml:space="preserve">Jing Chen et al. "Effects of Psychotherapy Interventions on Anxiety and Depression in Patients With Gastrointestinal Cancer: A Systematic Review and Network Meta-Analysis." Journal of Psychosomatic Research 179 (April 2024): 111609. </w:t>
      </w:r>
      <w:r>
        <w:rPr>
          <w:rFonts w:ascii="Georgia" w:cs="Georgia" w:eastAsia="Georgia" w:hAnsi="Georgia"/>
          <w:color w:val="5C6B7A"/>
          <w:sz w:val="19"/>
          <w:szCs w:val="19"/>
        </w:rPr>
        <w:t xml:space="preserve">https://doi.org/10.1016/j.jpsychores.2024.111609</w:t>
      </w:r>
    </w:p>
    <w:p>
      <w:pPr>
        <w:tabs>
          <w:tab w:val="left" w:pos="480"/>
        </w:tabs>
        <w:spacing w:after="100" w:line="260"/>
        <w:ind w:left="480" w:hanging="480"/>
      </w:pPr>
      <w:r>
        <w:rPr>
          <w:rFonts w:ascii="Georgia" w:cs="Georgia" w:eastAsia="Georgia" w:hAnsi="Georgia"/>
          <w:color w:val="B5432F"/>
          <w:sz w:val="19"/>
          <w:szCs w:val="19"/>
        </w:rPr>
        <w:t xml:space="preserve">6.	</w:t>
      </w:r>
      <w:r>
        <w:rPr>
          <w:rFonts w:ascii="Georgia" w:cs="Georgia" w:eastAsia="Georgia" w:hAnsi="Georgia"/>
          <w:color w:val="1B2A41"/>
          <w:sz w:val="19"/>
          <w:szCs w:val="19"/>
        </w:rPr>
        <w:t xml:space="preserve">Naykky Singh Ospina et al. "Eliciting the Patient's Agenda: Secondary Analysis of Recorded Clinical Encounters." Journal of General Internal Medicine 34, no. 1 (January 2019): 36-40. </w:t>
      </w:r>
      <w:r>
        <w:rPr>
          <w:rFonts w:ascii="Georgia" w:cs="Georgia" w:eastAsia="Georgia" w:hAnsi="Georgia"/>
          <w:color w:val="5C6B7A"/>
          <w:sz w:val="19"/>
          <w:szCs w:val="19"/>
        </w:rPr>
        <w:t xml:space="preserve">https://doi.org/10.1007/s11606-018-4540-5</w:t>
      </w:r>
    </w:p>
    <w:p>
      <w:pPr>
        <w:tabs>
          <w:tab w:val="left" w:pos="480"/>
        </w:tabs>
        <w:spacing w:after="100" w:line="260"/>
        <w:ind w:left="480" w:hanging="480"/>
      </w:pPr>
      <w:r>
        <w:rPr>
          <w:rFonts w:ascii="Georgia" w:cs="Georgia" w:eastAsia="Georgia" w:hAnsi="Georgia"/>
          <w:color w:val="B5432F"/>
          <w:sz w:val="19"/>
          <w:szCs w:val="19"/>
        </w:rPr>
        <w:t xml:space="preserve">7.	</w:t>
      </w:r>
      <w:r>
        <w:rPr>
          <w:rFonts w:ascii="Georgia" w:cs="Georgia" w:eastAsia="Georgia" w:hAnsi="Georgia"/>
          <w:color w:val="1B2A41"/>
          <w:sz w:val="19"/>
          <w:szCs w:val="19"/>
        </w:rPr>
        <w:t xml:space="preserve">World Health Organization. "Failure to Take Prescribed Medicine for Chronic Diseases Is a Massive, World-Wide Problem." WHO News Release, July 1, 2003. </w:t>
      </w:r>
      <w:r>
        <w:rPr>
          <w:rFonts w:ascii="Georgia" w:cs="Georgia" w:eastAsia="Georgia" w:hAnsi="Georgia"/>
          <w:color w:val="5C6B7A"/>
          <w:sz w:val="19"/>
          <w:szCs w:val="19"/>
        </w:rPr>
        <w:t xml:space="preserve">https://www.who.int/news/item/01-07-2003-failure-to-take-prescribed-medicine-for-chronic-diseases-is-a-massive-world-wide-problem</w:t>
      </w:r>
    </w:p>
    <w:p>
      <w:pPr>
        <w:tabs>
          <w:tab w:val="left" w:pos="480"/>
        </w:tabs>
        <w:spacing w:after="100" w:line="260"/>
        <w:ind w:left="480" w:hanging="480"/>
      </w:pPr>
      <w:r>
        <w:rPr>
          <w:rFonts w:ascii="Georgia" w:cs="Georgia" w:eastAsia="Georgia" w:hAnsi="Georgia"/>
          <w:color w:val="B5432F"/>
          <w:sz w:val="19"/>
          <w:szCs w:val="19"/>
        </w:rPr>
        <w:t xml:space="preserve">8.	</w:t>
      </w:r>
      <w:r>
        <w:rPr>
          <w:rFonts w:ascii="Georgia" w:cs="Georgia" w:eastAsia="Georgia" w:hAnsi="Georgia"/>
          <w:color w:val="1B2A41"/>
          <w:sz w:val="19"/>
          <w:szCs w:val="19"/>
        </w:rPr>
        <w:t xml:space="preserve">KFF. "KFF Tracking Poll on Health Information and Trust: January 2025." KFF, January 2025. </w:t>
      </w:r>
      <w:r>
        <w:rPr>
          <w:rFonts w:ascii="Georgia" w:cs="Georgia" w:eastAsia="Georgia" w:hAnsi="Georgia"/>
          <w:color w:val="5C6B7A"/>
          <w:sz w:val="19"/>
          <w:szCs w:val="19"/>
        </w:rPr>
        <w:t xml:space="preserve">https://www.kff.org/health-information-trust/kff-tracking-poll-on-health-information-and-trust-january-2025/</w:t>
      </w:r>
    </w:p>
    <w:p>
      <w:pPr>
        <w:tabs>
          <w:tab w:val="left" w:pos="480"/>
        </w:tabs>
        <w:spacing w:after="100" w:line="260"/>
        <w:ind w:left="480" w:hanging="480"/>
      </w:pPr>
      <w:r>
        <w:rPr>
          <w:rFonts w:ascii="Georgia" w:cs="Georgia" w:eastAsia="Georgia" w:hAnsi="Georgia"/>
          <w:color w:val="B5432F"/>
          <w:sz w:val="19"/>
          <w:szCs w:val="19"/>
        </w:rPr>
        <w:t xml:space="preserve">9.	</w:t>
      </w:r>
      <w:r>
        <w:rPr>
          <w:rFonts w:ascii="Georgia" w:cs="Georgia" w:eastAsia="Georgia" w:hAnsi="Georgia"/>
          <w:color w:val="1B2A41"/>
          <w:sz w:val="19"/>
          <w:szCs w:val="19"/>
        </w:rPr>
        <w:t xml:space="preserve">Annenberg Public Policy Center. "Many in U.S. Consider AI-Generated Health Information Useful and Reliable." APPC, July 14, 2025. </w:t>
      </w:r>
      <w:r>
        <w:rPr>
          <w:rFonts w:ascii="Georgia" w:cs="Georgia" w:eastAsia="Georgia" w:hAnsi="Georgia"/>
          <w:color w:val="5C6B7A"/>
          <w:sz w:val="19"/>
          <w:szCs w:val="19"/>
        </w:rPr>
        <w:t xml:space="preserve">https://www.annenbergpublicpolicycenter.org/many-in-u-s-consider-ai-generated-health-information-useful-and-reliable/</w:t>
      </w:r>
    </w:p>
    <w:p>
      <w:pPr>
        <w:tabs>
          <w:tab w:val="left" w:pos="480"/>
        </w:tabs>
        <w:spacing w:after="100" w:line="260"/>
        <w:ind w:left="480" w:hanging="480"/>
      </w:pPr>
      <w:r>
        <w:rPr>
          <w:rFonts w:ascii="Georgia" w:cs="Georgia" w:eastAsia="Georgia" w:hAnsi="Georgia"/>
          <w:color w:val="B5432F"/>
          <w:sz w:val="19"/>
          <w:szCs w:val="19"/>
        </w:rPr>
        <w:t xml:space="preserve">10.	</w:t>
      </w:r>
      <w:r>
        <w:rPr>
          <w:rFonts w:ascii="Georgia" w:cs="Georgia" w:eastAsia="Georgia" w:hAnsi="Georgia"/>
          <w:color w:val="1B2A41"/>
          <w:sz w:val="19"/>
          <w:szCs w:val="19"/>
        </w:rPr>
        <w:t xml:space="preserve">MediaRadar. "Pharma Ad Strategies in Flux: How Proposed FDA Updates Could Impact Channel Mix, TV and Digital Spend." MediaRadar Blog, November 14, 2025. </w:t>
      </w:r>
      <w:r>
        <w:rPr>
          <w:rFonts w:ascii="Georgia" w:cs="Georgia" w:eastAsia="Georgia" w:hAnsi="Georgia"/>
          <w:color w:val="5C6B7A"/>
          <w:sz w:val="19"/>
          <w:szCs w:val="19"/>
        </w:rPr>
        <w:t xml:space="preserve">https://www.mediaradar.com/blog/pharma-ad-strategies-in-flux</w:t>
      </w:r>
    </w:p>
    <w:p>
      <w:pPr>
        <w:tabs>
          <w:tab w:val="left" w:pos="480"/>
        </w:tabs>
        <w:spacing w:after="100" w:line="260"/>
        <w:ind w:left="480" w:hanging="480"/>
      </w:pPr>
      <w:r>
        <w:rPr>
          <w:rFonts w:ascii="Georgia" w:cs="Georgia" w:eastAsia="Georgia" w:hAnsi="Georgia"/>
          <w:color w:val="B5432F"/>
          <w:sz w:val="19"/>
          <w:szCs w:val="19"/>
        </w:rPr>
        <w:t xml:space="preserve">11.	</w:t>
      </w:r>
      <w:r>
        <w:rPr>
          <w:rFonts w:ascii="Georgia" w:cs="Georgia" w:eastAsia="Georgia" w:hAnsi="Georgia"/>
          <w:color w:val="1B2A41"/>
          <w:sz w:val="19"/>
          <w:szCs w:val="19"/>
        </w:rPr>
        <w:t xml:space="preserve">Lucas Museum of Narrative Art. "Art &amp; Artists." Accessed September 7, 2026. </w:t>
      </w:r>
      <w:r>
        <w:rPr>
          <w:rFonts w:ascii="Georgia" w:cs="Georgia" w:eastAsia="Georgia" w:hAnsi="Georgia"/>
          <w:color w:val="5C6B7A"/>
          <w:sz w:val="19"/>
          <w:szCs w:val="19"/>
        </w:rPr>
        <w:t xml:space="preserve">https://lucasmuseum.org/art-and-artists</w:t>
      </w:r>
    </w:p>
    <w:p>
      <w:pPr>
        <w:tabs>
          <w:tab w:val="left" w:pos="480"/>
        </w:tabs>
        <w:spacing w:after="100" w:line="260"/>
        <w:ind w:left="480" w:hanging="480"/>
      </w:pPr>
      <w:r>
        <w:rPr>
          <w:rFonts w:ascii="Georgia" w:cs="Georgia" w:eastAsia="Georgia" w:hAnsi="Georgia"/>
          <w:color w:val="B5432F"/>
          <w:sz w:val="19"/>
          <w:szCs w:val="19"/>
        </w:rPr>
        <w:t xml:space="preserve">12.	</w:t>
      </w:r>
      <w:r>
        <w:rPr>
          <w:rFonts w:ascii="Georgia" w:cs="Georgia" w:eastAsia="Georgia" w:hAnsi="Georgia"/>
          <w:color w:val="1B2A41"/>
          <w:sz w:val="19"/>
          <w:szCs w:val="19"/>
        </w:rPr>
        <w:t xml:space="preserve">Tait D. Shanafelt et al. "Changes in Burnout and Satisfaction With Work-Life Integration in Physicians and the General US Working Population Between 2011 and 2023." Mayo Clinic Proceedings 100, no. 7 (July 2025): 1142-1158. </w:t>
      </w:r>
      <w:r>
        <w:rPr>
          <w:rFonts w:ascii="Georgia" w:cs="Georgia" w:eastAsia="Georgia" w:hAnsi="Georgia"/>
          <w:color w:val="5C6B7A"/>
          <w:sz w:val="19"/>
          <w:szCs w:val="19"/>
        </w:rPr>
        <w:t xml:space="preserve">https://doi.org/10.1016/j.mayocp.2024.11.031</w:t>
      </w:r>
    </w:p>
    <w:p>
      <w:pPr>
        <w:tabs>
          <w:tab w:val="left" w:pos="480"/>
        </w:tabs>
        <w:spacing w:after="100" w:line="260"/>
        <w:ind w:left="480" w:hanging="480"/>
      </w:pPr>
      <w:r>
        <w:rPr>
          <w:rFonts w:ascii="Georgia" w:cs="Georgia" w:eastAsia="Georgia" w:hAnsi="Georgia"/>
          <w:color w:val="B5432F"/>
          <w:sz w:val="19"/>
          <w:szCs w:val="19"/>
        </w:rPr>
        <w:t xml:space="preserve">13.	</w:t>
      </w:r>
      <w:r>
        <w:rPr>
          <w:rFonts w:ascii="Georgia" w:cs="Georgia" w:eastAsia="Georgia" w:hAnsi="Georgia"/>
          <w:color w:val="1B2A41"/>
          <w:sz w:val="19"/>
          <w:szCs w:val="19"/>
        </w:rPr>
        <w:t xml:space="preserve">Christy DiFrances Remein et al. "Content and Outcomes of Narrative Medicine Programmes: A Systematic Review of the Literature Through 2019." BMJ Open 10, no. 1 (January 26, 2020): e031568. </w:t>
      </w:r>
      <w:r>
        <w:rPr>
          <w:rFonts w:ascii="Georgia" w:cs="Georgia" w:eastAsia="Georgia" w:hAnsi="Georgia"/>
          <w:color w:val="5C6B7A"/>
          <w:sz w:val="19"/>
          <w:szCs w:val="19"/>
        </w:rPr>
        <w:t xml:space="preserve">https://doi.org/10.1136/bmjopen-2019-031568</w:t>
      </w:r>
    </w:p>
    <w:p>
      <w:pPr>
        <w:tabs>
          <w:tab w:val="left" w:pos="480"/>
        </w:tabs>
        <w:spacing w:after="100" w:line="260"/>
        <w:ind w:left="480" w:hanging="480"/>
      </w:pPr>
      <w:r>
        <w:rPr>
          <w:rFonts w:ascii="Georgia" w:cs="Georgia" w:eastAsia="Georgia" w:hAnsi="Georgia"/>
          <w:color w:val="B5432F"/>
          <w:sz w:val="19"/>
          <w:szCs w:val="19"/>
        </w:rPr>
        <w:t xml:space="preserve">14.	</w:t>
      </w:r>
      <w:r>
        <w:rPr>
          <w:rFonts w:ascii="Georgia" w:cs="Georgia" w:eastAsia="Georgia" w:hAnsi="Georgia"/>
          <w:color w:val="1B2A41"/>
          <w:sz w:val="19"/>
          <w:szCs w:val="19"/>
        </w:rPr>
        <w:t xml:space="preserve">KFF. "KFF Health Misinformation Tracking Poll Pilot." KFF, August 22, 2023. </w:t>
      </w:r>
      <w:r>
        <w:rPr>
          <w:rFonts w:ascii="Georgia" w:cs="Georgia" w:eastAsia="Georgia" w:hAnsi="Georgia"/>
          <w:color w:val="5C6B7A"/>
          <w:sz w:val="19"/>
          <w:szCs w:val="19"/>
        </w:rPr>
        <w:t xml:space="preserve">https://www.kff.org/health-information-trust/kff-health-misinformation-tracking-poll-pilot/</w:t>
      </w:r>
    </w:p>
    <w:p>
      <w:pPr>
        <w:tabs>
          <w:tab w:val="left" w:pos="480"/>
        </w:tabs>
        <w:spacing w:after="100" w:line="260"/>
        <w:ind w:left="480" w:hanging="480"/>
      </w:pPr>
      <w:r>
        <w:rPr>
          <w:rFonts w:ascii="Georgia" w:cs="Georgia" w:eastAsia="Georgia" w:hAnsi="Georgia"/>
          <w:color w:val="B5432F"/>
          <w:sz w:val="19"/>
          <w:szCs w:val="19"/>
        </w:rPr>
        <w:t xml:space="preserve">15.	</w:t>
      </w:r>
      <w:r>
        <w:rPr>
          <w:rFonts w:ascii="Georgia" w:cs="Georgia" w:eastAsia="Georgia" w:hAnsi="Georgia"/>
          <w:color w:val="1B2A41"/>
          <w:sz w:val="19"/>
          <w:szCs w:val="19"/>
        </w:rPr>
        <w:t xml:space="preserve">KFF. "KFF Tracking Poll on Health Information and Trust: Update on Common Vaccine Myths." KFF, June 30, 2026. </w:t>
      </w:r>
      <w:r>
        <w:rPr>
          <w:rFonts w:ascii="Georgia" w:cs="Georgia" w:eastAsia="Georgia" w:hAnsi="Georgia"/>
          <w:color w:val="5C6B7A"/>
          <w:sz w:val="19"/>
          <w:szCs w:val="19"/>
        </w:rPr>
        <w:t xml:space="preserve">https://www.kff.org/public-opinion/kff-tracking-poll-on-health-information-and-trust-update-on-common-vaccine-myths/</w:t>
      </w:r>
    </w:p>
    <w:p>
      <w:pPr>
        <w:tabs>
          <w:tab w:val="left" w:pos="480"/>
        </w:tabs>
        <w:spacing w:after="100" w:line="260"/>
        <w:ind w:left="480" w:hanging="480"/>
      </w:pPr>
      <w:r>
        <w:rPr>
          <w:rFonts w:ascii="Georgia" w:cs="Georgia" w:eastAsia="Georgia" w:hAnsi="Georgia"/>
          <w:color w:val="B5432F"/>
          <w:sz w:val="19"/>
          <w:szCs w:val="19"/>
        </w:rPr>
        <w:t xml:space="preserve">16.	</w:t>
      </w:r>
      <w:r>
        <w:rPr>
          <w:rFonts w:ascii="Georgia" w:cs="Georgia" w:eastAsia="Georgia" w:hAnsi="Georgia"/>
          <w:color w:val="1B2A41"/>
          <w:sz w:val="19"/>
          <w:szCs w:val="19"/>
        </w:rPr>
        <w:t xml:space="preserve">Edelman. "2025 Edelman Trust Barometer Special Report: Trust and Health." Edelman, April 24, 2025. </w:t>
      </w:r>
      <w:r>
        <w:rPr>
          <w:rFonts w:ascii="Georgia" w:cs="Georgia" w:eastAsia="Georgia" w:hAnsi="Georgia"/>
          <w:color w:val="5C6B7A"/>
          <w:sz w:val="19"/>
          <w:szCs w:val="19"/>
        </w:rPr>
        <w:t xml:space="preserve">https://www.edelman.com/trust/2025/trust-barometer/special-report-health</w:t>
      </w:r>
    </w:p>
    <w:p>
      <w:pPr>
        <w:tabs>
          <w:tab w:val="left" w:pos="480"/>
        </w:tabs>
        <w:spacing w:after="100" w:line="260"/>
        <w:ind w:left="480" w:hanging="480"/>
      </w:pPr>
      <w:r>
        <w:rPr>
          <w:rFonts w:ascii="Georgia" w:cs="Georgia" w:eastAsia="Georgia" w:hAnsi="Georgia"/>
          <w:color w:val="B5432F"/>
          <w:sz w:val="19"/>
          <w:szCs w:val="19"/>
        </w:rPr>
        <w:t xml:space="preserve">17.	</w:t>
      </w:r>
      <w:r>
        <w:rPr>
          <w:rFonts w:ascii="Georgia" w:cs="Georgia" w:eastAsia="Georgia" w:hAnsi="Georgia"/>
          <w:color w:val="1B2A41"/>
          <w:sz w:val="19"/>
          <w:szCs w:val="19"/>
        </w:rPr>
        <w:t xml:space="preserve">Pew Research Center. "60% of Americans Would Be Uncomfortable With Provider Relying on AI in Their Own Health Care." Pew Research Center, February 22, 2023. </w:t>
      </w:r>
      <w:r>
        <w:rPr>
          <w:rFonts w:ascii="Georgia" w:cs="Georgia" w:eastAsia="Georgia" w:hAnsi="Georgia"/>
          <w:color w:val="5C6B7A"/>
          <w:sz w:val="19"/>
          <w:szCs w:val="19"/>
        </w:rPr>
        <w:t xml:space="preserve">https://www.pewresearch.org/science/2023/02/22/60-of-americans-would-be-uncomfortable-with-provider-relying-on-ai-in-their-own-health-care/</w:t>
      </w:r>
    </w:p>
    <w:p>
      <w:pPr>
        <w:tabs>
          <w:tab w:val="left" w:pos="480"/>
        </w:tabs>
        <w:spacing w:after="100" w:line="260"/>
        <w:ind w:left="480" w:hanging="480"/>
      </w:pPr>
      <w:r>
        <w:rPr>
          <w:rFonts w:ascii="Georgia" w:cs="Georgia" w:eastAsia="Georgia" w:hAnsi="Georgia"/>
          <w:color w:val="B5432F"/>
          <w:sz w:val="19"/>
          <w:szCs w:val="19"/>
        </w:rPr>
        <w:t xml:space="preserve">18.	</w:t>
      </w:r>
      <w:r>
        <w:rPr>
          <w:rFonts w:ascii="Georgia" w:cs="Georgia" w:eastAsia="Georgia" w:hAnsi="Georgia"/>
          <w:color w:val="1B2A41"/>
          <w:sz w:val="19"/>
          <w:szCs w:val="19"/>
        </w:rPr>
        <w:t xml:space="preserve">Amit Baumel, Frederick Muench, Stav Edan, and John M. Kane. "Objective User Engagement With Mental Health Apps: Systematic Search and Panel-Based Usage Analysis." Journal of Medical Internet Research 21, no. 9 (September 25, 2019): e14567. </w:t>
      </w:r>
      <w:r>
        <w:rPr>
          <w:rFonts w:ascii="Georgia" w:cs="Georgia" w:eastAsia="Georgia" w:hAnsi="Georgia"/>
          <w:color w:val="5C6B7A"/>
          <w:sz w:val="19"/>
          <w:szCs w:val="19"/>
        </w:rPr>
        <w:t xml:space="preserve">https://www.jmir.org/2019/9/e14567/</w:t>
      </w:r>
    </w:p>
    <w:p>
      <w:pPr>
        <w:tabs>
          <w:tab w:val="left" w:pos="480"/>
        </w:tabs>
        <w:spacing w:after="100" w:line="260"/>
        <w:ind w:left="480" w:hanging="480"/>
      </w:pPr>
      <w:r>
        <w:rPr>
          <w:rFonts w:ascii="Georgia" w:cs="Georgia" w:eastAsia="Georgia" w:hAnsi="Georgia"/>
          <w:color w:val="B5432F"/>
          <w:sz w:val="19"/>
          <w:szCs w:val="19"/>
        </w:rPr>
        <w:t xml:space="preserve">19.	</w:t>
      </w:r>
      <w:r>
        <w:rPr>
          <w:rFonts w:ascii="Georgia" w:cs="Georgia" w:eastAsia="Georgia" w:hAnsi="Georgia"/>
          <w:color w:val="1B2A41"/>
          <w:sz w:val="19"/>
          <w:szCs w:val="19"/>
        </w:rPr>
        <w:t xml:space="preserve">Robert Jakob et al. "Factors Influencing Adherence to mHealth Apps for Prevention or Management of Noncommunicable Diseases: Systematic Review." Journal of Medical Internet Research 24, no. 5 (May 25, 2022): e35371. </w:t>
      </w:r>
      <w:r>
        <w:rPr>
          <w:rFonts w:ascii="Georgia" w:cs="Georgia" w:eastAsia="Georgia" w:hAnsi="Georgia"/>
          <w:color w:val="5C6B7A"/>
          <w:sz w:val="19"/>
          <w:szCs w:val="19"/>
        </w:rPr>
        <w:t xml:space="preserve">https://www.jmir.org/2022/5/e35371/</w:t>
      </w:r>
    </w:p>
    <w:p>
      <w:pPr>
        <w:tabs>
          <w:tab w:val="left" w:pos="480"/>
        </w:tabs>
        <w:spacing w:after="100" w:line="260"/>
        <w:ind w:left="480" w:hanging="480"/>
      </w:pPr>
      <w:r>
        <w:rPr>
          <w:rFonts w:ascii="Georgia" w:cs="Georgia" w:eastAsia="Georgia" w:hAnsi="Georgia"/>
          <w:color w:val="B5432F"/>
          <w:sz w:val="19"/>
          <w:szCs w:val="19"/>
        </w:rPr>
        <w:t xml:space="preserve">20.	</w:t>
      </w:r>
      <w:r>
        <w:rPr>
          <w:rFonts w:ascii="Georgia" w:cs="Georgia" w:eastAsia="Georgia" w:hAnsi="Georgia"/>
          <w:color w:val="1B2A41"/>
          <w:sz w:val="19"/>
          <w:szCs w:val="19"/>
        </w:rPr>
        <w:t xml:space="preserve">U.S. Food and Drug Administration. "FDA Launches Crackdown on Deceptive Drug Advertising." FDA Press Announcement, September 9, 2025. </w:t>
      </w:r>
      <w:r>
        <w:rPr>
          <w:rFonts w:ascii="Georgia" w:cs="Georgia" w:eastAsia="Georgia" w:hAnsi="Georgia"/>
          <w:color w:val="5C6B7A"/>
          <w:sz w:val="19"/>
          <w:szCs w:val="19"/>
        </w:rPr>
        <w:t xml:space="preserve">https://www.fda.gov/news-events/press-announcements/fda-launches-crackdown-deceptive-drug-advertising</w:t>
      </w:r>
    </w:p>
    <w:p>
      <w:pPr>
        <w:tabs>
          <w:tab w:val="left" w:pos="480"/>
        </w:tabs>
        <w:spacing w:after="100" w:line="260"/>
        <w:ind w:left="480" w:hanging="480"/>
      </w:pPr>
      <w:r>
        <w:rPr>
          <w:rFonts w:ascii="Georgia" w:cs="Georgia" w:eastAsia="Georgia" w:hAnsi="Georgia"/>
          <w:color w:val="B5432F"/>
          <w:sz w:val="19"/>
          <w:szCs w:val="19"/>
        </w:rPr>
        <w:t xml:space="preserve">21.	</w:t>
      </w:r>
      <w:r>
        <w:rPr>
          <w:rFonts w:ascii="Georgia" w:cs="Georgia" w:eastAsia="Georgia" w:hAnsi="Georgia"/>
          <w:color w:val="1B2A41"/>
          <w:sz w:val="19"/>
          <w:szCs w:val="19"/>
        </w:rPr>
        <w:t xml:space="preserve">Melanie C. Green. "Transportation into Narrative Worlds." In Entertainment-Education Behind the Scenes. Springer, 2021. </w:t>
      </w:r>
      <w:r>
        <w:rPr>
          <w:rFonts w:ascii="Georgia" w:cs="Georgia" w:eastAsia="Georgia" w:hAnsi="Georgia"/>
          <w:color w:val="5C6B7A"/>
          <w:sz w:val="19"/>
          <w:szCs w:val="19"/>
        </w:rPr>
        <w:t xml:space="preserve">https://link.springer.com/chapter/10.1007/978-3-030-63614-2_6</w:t>
      </w:r>
    </w:p>
    <w:p>
      <w:pPr>
        <w:tabs>
          <w:tab w:val="left" w:pos="480"/>
        </w:tabs>
        <w:spacing w:after="100" w:line="260"/>
        <w:ind w:left="480" w:hanging="480"/>
      </w:pPr>
      <w:r>
        <w:rPr>
          <w:rFonts w:ascii="Georgia" w:cs="Georgia" w:eastAsia="Georgia" w:hAnsi="Georgia"/>
          <w:color w:val="B5432F"/>
          <w:sz w:val="19"/>
          <w:szCs w:val="19"/>
        </w:rPr>
        <w:t xml:space="preserve">22.	</w:t>
      </w:r>
      <w:r>
        <w:rPr>
          <w:rFonts w:ascii="Georgia" w:cs="Georgia" w:eastAsia="Georgia" w:hAnsi="Georgia"/>
          <w:color w:val="1B2A41"/>
          <w:sz w:val="19"/>
          <w:szCs w:val="19"/>
        </w:rPr>
        <w:t xml:space="preserve">David Blair and Tom Meyer. "Tools for an Interactive Virtual Cinema." In Creating Personalities for Synthetic Actors, Lecture Notes in Computer Science 1195. Springer, 1997, 83-91. </w:t>
      </w:r>
      <w:r>
        <w:rPr>
          <w:rFonts w:ascii="Georgia" w:cs="Georgia" w:eastAsia="Georgia" w:hAnsi="Georgia"/>
          <w:color w:val="5C6B7A"/>
          <w:sz w:val="19"/>
          <w:szCs w:val="19"/>
        </w:rPr>
        <w:t xml:space="preserve">https://link.springer.com/chapter/10.1007/BFb0030572</w:t>
      </w:r>
    </w:p>
    <w:p>
      <w:pPr>
        <w:tabs>
          <w:tab w:val="left" w:pos="480"/>
        </w:tabs>
        <w:spacing w:after="100" w:line="260"/>
        <w:ind w:left="480" w:hanging="480"/>
      </w:pPr>
      <w:r>
        <w:rPr>
          <w:rFonts w:ascii="Georgia" w:cs="Georgia" w:eastAsia="Georgia" w:hAnsi="Georgia"/>
          <w:color w:val="B5432F"/>
          <w:sz w:val="19"/>
          <w:szCs w:val="19"/>
        </w:rPr>
        <w:t xml:space="preserve">23.	</w:t>
      </w:r>
      <w:r>
        <w:rPr>
          <w:rFonts w:ascii="Georgia" w:cs="Georgia" w:eastAsia="Georgia" w:hAnsi="Georgia"/>
          <w:color w:val="1B2A41"/>
          <w:sz w:val="19"/>
          <w:szCs w:val="19"/>
        </w:rPr>
        <w:t xml:space="preserve">Michael Mateas and Phoebe Sengers. "Narrative Intelligence." AAAI Fall Symposium on Narrative Intelligence, Technical Report FS-99-01, 1999. </w:t>
      </w:r>
      <w:r>
        <w:rPr>
          <w:rFonts w:ascii="Georgia" w:cs="Georgia" w:eastAsia="Georgia" w:hAnsi="Georgia"/>
          <w:color w:val="5C6B7A"/>
          <w:sz w:val="19"/>
          <w:szCs w:val="19"/>
        </w:rPr>
        <w:t xml:space="preserve">https://www.cs.uky.edu/~sgware/reading/papers/mateas1999narrative.pdf</w:t>
      </w:r>
    </w:p>
    <w:p>
      <w:pPr>
        <w:tabs>
          <w:tab w:val="left" w:pos="480"/>
        </w:tabs>
        <w:spacing w:after="100" w:line="260"/>
        <w:ind w:left="480" w:hanging="480"/>
      </w:pPr>
      <w:r>
        <w:rPr>
          <w:rFonts w:ascii="Georgia" w:cs="Georgia" w:eastAsia="Georgia" w:hAnsi="Georgia"/>
          <w:color w:val="B5432F"/>
          <w:sz w:val="19"/>
          <w:szCs w:val="19"/>
        </w:rPr>
        <w:t xml:space="preserve">24.	</w:t>
      </w:r>
      <w:r>
        <w:rPr>
          <w:rFonts w:ascii="Georgia" w:cs="Georgia" w:eastAsia="Georgia" w:hAnsi="Georgia"/>
          <w:color w:val="1B2A41"/>
          <w:sz w:val="19"/>
          <w:szCs w:val="19"/>
        </w:rPr>
        <w:t xml:space="preserve">Michael Mateas and Phoebe Sengers, eds. Narrative Intelligence. Advances in Consciousness Research 46. Amsterdam: John Benjamins, 2003. </w:t>
      </w:r>
      <w:r>
        <w:rPr>
          <w:rFonts w:ascii="Georgia" w:cs="Georgia" w:eastAsia="Georgia" w:hAnsi="Georgia"/>
          <w:color w:val="5C6B7A"/>
          <w:sz w:val="19"/>
          <w:szCs w:val="19"/>
        </w:rPr>
        <w:t xml:space="preserve">https://benjamins.com/catalog/aicr.46</w:t>
      </w:r>
    </w:p>
    <w:p>
      <w:pPr>
        <w:tabs>
          <w:tab w:val="left" w:pos="480"/>
        </w:tabs>
        <w:spacing w:after="100" w:line="260"/>
        <w:ind w:left="480" w:hanging="480"/>
      </w:pPr>
      <w:r>
        <w:rPr>
          <w:rFonts w:ascii="Georgia" w:cs="Georgia" w:eastAsia="Georgia" w:hAnsi="Georgia"/>
          <w:color w:val="B5432F"/>
          <w:sz w:val="19"/>
          <w:szCs w:val="19"/>
        </w:rPr>
        <w:t xml:space="preserve">25.	</w:t>
      </w:r>
      <w:r>
        <w:rPr>
          <w:rFonts w:ascii="Georgia" w:cs="Georgia" w:eastAsia="Georgia" w:hAnsi="Georgia"/>
          <w:color w:val="1B2A41"/>
          <w:sz w:val="19"/>
          <w:szCs w:val="19"/>
        </w:rPr>
        <w:t xml:space="preserve">Annette L. Stanton et al. "Randomized, Controlled Trial of Written Emotional Expression and Benefit Finding in Breast Cancer Patients." Journal of Clinical Oncology 20, no. 20 (October 15, 2002): 4160-4168. </w:t>
      </w:r>
      <w:r>
        <w:rPr>
          <w:rFonts w:ascii="Georgia" w:cs="Georgia" w:eastAsia="Georgia" w:hAnsi="Georgia"/>
          <w:color w:val="5C6B7A"/>
          <w:sz w:val="19"/>
          <w:szCs w:val="19"/>
        </w:rPr>
        <w:t xml:space="preserve">https://doi.org/10.1200/JCO.2002.08.521</w:t>
      </w:r>
    </w:p>
    <w:p>
      <w:pPr>
        <w:tabs>
          <w:tab w:val="left" w:pos="480"/>
        </w:tabs>
        <w:spacing w:after="100" w:line="260"/>
        <w:ind w:left="480" w:hanging="480"/>
      </w:pPr>
      <w:r>
        <w:rPr>
          <w:rFonts w:ascii="Georgia" w:cs="Georgia" w:eastAsia="Georgia" w:hAnsi="Georgia"/>
          <w:color w:val="B5432F"/>
          <w:sz w:val="19"/>
          <w:szCs w:val="19"/>
        </w:rPr>
        <w:t xml:space="preserve">26.	</w:t>
      </w:r>
      <w:r>
        <w:rPr>
          <w:rFonts w:ascii="Georgia" w:cs="Georgia" w:eastAsia="Georgia" w:hAnsi="Georgia"/>
          <w:color w:val="1B2A41"/>
          <w:sz w:val="19"/>
          <w:szCs w:val="19"/>
        </w:rPr>
        <w:t xml:space="preserve">Kathrin Milbury et al. "Randomized Controlled Trial of Expressive Writing for Patients With Renal Cell Carcinoma." Journal of Clinical Oncology 32, no. 7 (March 1, 2014): 663-670. </w:t>
      </w:r>
      <w:r>
        <w:rPr>
          <w:rFonts w:ascii="Georgia" w:cs="Georgia" w:eastAsia="Georgia" w:hAnsi="Georgia"/>
          <w:color w:val="5C6B7A"/>
          <w:sz w:val="19"/>
          <w:szCs w:val="19"/>
        </w:rPr>
        <w:t xml:space="preserve">https://doi.org/10.1200/JCO.2013.50.3532</w:t>
      </w:r>
    </w:p>
    <w:p>
      <w:pPr>
        <w:tabs>
          <w:tab w:val="left" w:pos="480"/>
        </w:tabs>
        <w:spacing w:after="100" w:line="260"/>
        <w:ind w:left="480" w:hanging="480"/>
      </w:pPr>
      <w:r>
        <w:rPr>
          <w:rFonts w:ascii="Georgia" w:cs="Georgia" w:eastAsia="Georgia" w:hAnsi="Georgia"/>
          <w:color w:val="B5432F"/>
          <w:sz w:val="19"/>
          <w:szCs w:val="19"/>
        </w:rPr>
        <w:t xml:space="preserve">27.	</w:t>
      </w:r>
      <w:r>
        <w:rPr>
          <w:rFonts w:ascii="Georgia" w:cs="Georgia" w:eastAsia="Georgia" w:hAnsi="Georgia"/>
          <w:color w:val="1B2A41"/>
          <w:sz w:val="19"/>
          <w:szCs w:val="19"/>
        </w:rPr>
        <w:t xml:space="preserve">Tao Zhang et al. "Are Digital Psychological Interventions for Psychological Distress and Quality of Life in Cancer Patients Effective? A Systematic Review and Network Meta-Analysis." Clinical Psychology Review 115 (February 2025): 102520. </w:t>
      </w:r>
      <w:r>
        <w:rPr>
          <w:rFonts w:ascii="Georgia" w:cs="Georgia" w:eastAsia="Georgia" w:hAnsi="Georgia"/>
          <w:color w:val="5C6B7A"/>
          <w:sz w:val="19"/>
          <w:szCs w:val="19"/>
        </w:rPr>
        <w:t xml:space="preserve">https://doi.org/10.1016/j.cpr.2024.102520</w:t>
      </w:r>
    </w:p>
    <w:p>
      <w:pPr>
        <w:tabs>
          <w:tab w:val="left" w:pos="480"/>
        </w:tabs>
        <w:spacing w:after="100" w:line="260"/>
        <w:ind w:left="480" w:hanging="480"/>
      </w:pPr>
      <w:r>
        <w:rPr>
          <w:rFonts w:ascii="Georgia" w:cs="Georgia" w:eastAsia="Georgia" w:hAnsi="Georgia"/>
          <w:color w:val="B5432F"/>
          <w:sz w:val="19"/>
          <w:szCs w:val="19"/>
        </w:rPr>
        <w:t xml:space="preserve">28.	</w:t>
      </w:r>
      <w:r>
        <w:rPr>
          <w:rFonts w:ascii="Georgia" w:cs="Georgia" w:eastAsia="Georgia" w:hAnsi="Georgia"/>
          <w:color w:val="1B2A41"/>
          <w:sz w:val="19"/>
          <w:szCs w:val="19"/>
        </w:rPr>
        <w:t xml:space="preserve">Harvey Max Chochinov et al. "Effect of Dignity Therapy on Distress and End-of-Life Experience in Terminally Ill Patients: A Randomised Controlled Trial." Lancet Oncology 12, no. 8 (August 2011): 753-762. </w:t>
      </w:r>
      <w:r>
        <w:rPr>
          <w:rFonts w:ascii="Georgia" w:cs="Georgia" w:eastAsia="Georgia" w:hAnsi="Georgia"/>
          <w:color w:val="5C6B7A"/>
          <w:sz w:val="19"/>
          <w:szCs w:val="19"/>
        </w:rPr>
        <w:t xml:space="preserve">https://doi.org/10.1016/S1470-2045(11)70153-X</w:t>
      </w:r>
    </w:p>
    <w:p>
      <w:pPr>
        <w:tabs>
          <w:tab w:val="left" w:pos="480"/>
        </w:tabs>
        <w:spacing w:after="100" w:line="260"/>
        <w:ind w:left="480" w:hanging="480"/>
      </w:pPr>
      <w:r>
        <w:rPr>
          <w:rFonts w:ascii="Georgia" w:cs="Georgia" w:eastAsia="Georgia" w:hAnsi="Georgia"/>
          <w:color w:val="B5432F"/>
          <w:sz w:val="19"/>
          <w:szCs w:val="19"/>
        </w:rPr>
        <w:t xml:space="preserve">29.	</w:t>
      </w:r>
      <w:r>
        <w:rPr>
          <w:rFonts w:ascii="Georgia" w:cs="Georgia" w:eastAsia="Georgia" w:hAnsi="Georgia"/>
          <w:color w:val="1B2A41"/>
          <w:sz w:val="19"/>
          <w:szCs w:val="19"/>
        </w:rPr>
        <w:t xml:space="preserve">Matthew W. Kreuter et al. "Comparing Narrative and Informational Videos to Increase Mammography in Low-Income African American Women." Patient Education and Counseling 81, suppl. (December 2010): S6-S14. </w:t>
      </w:r>
      <w:r>
        <w:rPr>
          <w:rFonts w:ascii="Georgia" w:cs="Georgia" w:eastAsia="Georgia" w:hAnsi="Georgia"/>
          <w:color w:val="5C6B7A"/>
          <w:sz w:val="19"/>
          <w:szCs w:val="19"/>
        </w:rPr>
        <w:t xml:space="preserve">https://doi.org/10.1016/j.pec.2010.09.008</w:t>
      </w:r>
    </w:p>
    <w:p>
      <w:pPr>
        <w:tabs>
          <w:tab w:val="left" w:pos="480"/>
        </w:tabs>
        <w:spacing w:after="100" w:line="260"/>
        <w:ind w:left="480" w:hanging="480"/>
      </w:pPr>
      <w:r>
        <w:rPr>
          <w:rFonts w:ascii="Georgia" w:cs="Georgia" w:eastAsia="Georgia" w:hAnsi="Georgia"/>
          <w:color w:val="B5432F"/>
          <w:sz w:val="19"/>
          <w:szCs w:val="19"/>
        </w:rPr>
        <w:t xml:space="preserve">30.	</w:t>
      </w:r>
      <w:r>
        <w:rPr>
          <w:rFonts w:ascii="Georgia" w:cs="Georgia" w:eastAsia="Georgia" w:hAnsi="Georgia"/>
          <w:color w:val="1B2A41"/>
          <w:sz w:val="19"/>
          <w:szCs w:val="19"/>
        </w:rPr>
        <w:t xml:space="preserve">Sheila T. Murphy, Lauren B. Frank, Joyee S. Chatterjee, and Lourdes Baezconde-Garbanati. "Narrative Versus Non-Narrative: The Role of Identification, Transportation and Emotion in Reducing Health Disparities." Journal of Communication 63, no. 1 (February 2013). </w:t>
      </w:r>
      <w:r>
        <w:rPr>
          <w:rFonts w:ascii="Georgia" w:cs="Georgia" w:eastAsia="Georgia" w:hAnsi="Georgia"/>
          <w:color w:val="5C6B7A"/>
          <w:sz w:val="19"/>
          <w:szCs w:val="19"/>
        </w:rPr>
        <w:t xml:space="preserve">https://doi.org/10.1111/jcom.12007</w:t>
      </w:r>
    </w:p>
    <w:p>
      <w:pPr>
        <w:tabs>
          <w:tab w:val="left" w:pos="480"/>
        </w:tabs>
        <w:spacing w:after="100" w:line="260"/>
        <w:ind w:left="480" w:hanging="480"/>
      </w:pPr>
      <w:r>
        <w:rPr>
          <w:rFonts w:ascii="Georgia" w:cs="Georgia" w:eastAsia="Georgia" w:hAnsi="Georgia"/>
          <w:color w:val="B5432F"/>
          <w:sz w:val="19"/>
          <w:szCs w:val="19"/>
        </w:rPr>
        <w:t xml:space="preserve">31.	</w:t>
      </w:r>
      <w:r>
        <w:rPr>
          <w:rFonts w:ascii="Georgia" w:cs="Georgia" w:eastAsia="Georgia" w:hAnsi="Georgia"/>
          <w:color w:val="1B2A41"/>
          <w:sz w:val="19"/>
          <w:szCs w:val="19"/>
        </w:rPr>
        <w:t xml:space="preserve">Haeok Lee et al. "Mobile Health-Delivered Narrative Intervention to Increase Cervical Cancer Screening Among Malawian Women Living With HIV: A Pilot Randomized Controlled Trial." Asia-Pacific Journal of Oncology Nursing 11, no. 5 (May 2024): 100448. </w:t>
      </w:r>
      <w:r>
        <w:rPr>
          <w:rFonts w:ascii="Georgia" w:cs="Georgia" w:eastAsia="Georgia" w:hAnsi="Georgia"/>
          <w:color w:val="5C6B7A"/>
          <w:sz w:val="19"/>
          <w:szCs w:val="19"/>
        </w:rPr>
        <w:t xml:space="preserve">https://doi.org/10.1016/j.apjon.2024.100448</w:t>
      </w:r>
    </w:p>
    <w:p>
      <w:pPr>
        <w:tabs>
          <w:tab w:val="left" w:pos="480"/>
        </w:tabs>
        <w:spacing w:after="100" w:line="260"/>
        <w:ind w:left="480" w:hanging="480"/>
      </w:pPr>
      <w:r>
        <w:rPr>
          <w:rFonts w:ascii="Georgia" w:cs="Georgia" w:eastAsia="Georgia" w:hAnsi="Georgia"/>
          <w:color w:val="B5432F"/>
          <w:sz w:val="19"/>
          <w:szCs w:val="19"/>
        </w:rPr>
        <w:t xml:space="preserve">32.	</w:t>
      </w:r>
      <w:r>
        <w:rPr>
          <w:rFonts w:ascii="Georgia" w:cs="Georgia" w:eastAsia="Georgia" w:hAnsi="Georgia"/>
          <w:color w:val="1B2A41"/>
          <w:sz w:val="19"/>
          <w:szCs w:val="19"/>
        </w:rPr>
        <w:t xml:space="preserve">Joanne Frattaroli. "Experimental Disclosure and Its Moderators: A Meta-Analysis." Psychological Bulletin 132, no. 6 (November 2006): 823-865. </w:t>
      </w:r>
      <w:r>
        <w:rPr>
          <w:rFonts w:ascii="Georgia" w:cs="Georgia" w:eastAsia="Georgia" w:hAnsi="Georgia"/>
          <w:color w:val="5C6B7A"/>
          <w:sz w:val="19"/>
          <w:szCs w:val="19"/>
        </w:rPr>
        <w:t xml:space="preserve">https://doi.org/10.1037/0033-2909.132.6.823</w:t>
      </w:r>
    </w:p>
    <w:p>
      <w:pPr>
        <w:tabs>
          <w:tab w:val="left" w:pos="480"/>
        </w:tabs>
        <w:spacing w:after="100" w:line="260"/>
        <w:ind w:left="480" w:hanging="480"/>
      </w:pPr>
      <w:r>
        <w:rPr>
          <w:rFonts w:ascii="Georgia" w:cs="Georgia" w:eastAsia="Georgia" w:hAnsi="Georgia"/>
          <w:color w:val="B5432F"/>
          <w:sz w:val="19"/>
          <w:szCs w:val="19"/>
        </w:rPr>
        <w:t xml:space="preserve">33.	</w:t>
      </w:r>
      <w:r>
        <w:rPr>
          <w:rFonts w:ascii="Georgia" w:cs="Georgia" w:eastAsia="Georgia" w:hAnsi="Georgia"/>
          <w:color w:val="1B2A41"/>
          <w:sz w:val="19"/>
          <w:szCs w:val="19"/>
        </w:rPr>
        <w:t xml:space="preserve">Kurt Braddock and James Price Dillard. "Meta-Analytic Evidence for the Persuasive Effect of Narratives on Beliefs, Attitudes, Intentions, and Behaviors." Communication Monographs 83, no. 4 (2016): 446-467. </w:t>
      </w:r>
      <w:r>
        <w:rPr>
          <w:rFonts w:ascii="Georgia" w:cs="Georgia" w:eastAsia="Georgia" w:hAnsi="Georgia"/>
          <w:color w:val="5C6B7A"/>
          <w:sz w:val="19"/>
          <w:szCs w:val="19"/>
        </w:rPr>
        <w:t xml:space="preserve">https://pure.psu.edu/en/publications/meta-analytic-evidence-for-the-persuasive-effect-of-narratives-on</w:t>
      </w:r>
    </w:p>
    <w:p>
      <w:pPr>
        <w:tabs>
          <w:tab w:val="left" w:pos="480"/>
        </w:tabs>
        <w:spacing w:after="100" w:line="260"/>
        <w:ind w:left="480" w:hanging="480"/>
      </w:pPr>
      <w:r>
        <w:rPr>
          <w:rFonts w:ascii="Georgia" w:cs="Georgia" w:eastAsia="Georgia" w:hAnsi="Georgia"/>
          <w:color w:val="B5432F"/>
          <w:sz w:val="19"/>
          <w:szCs w:val="19"/>
        </w:rPr>
        <w:t xml:space="preserve">34.	</w:t>
      </w:r>
      <w:r>
        <w:rPr>
          <w:rFonts w:ascii="Georgia" w:cs="Georgia" w:eastAsia="Georgia" w:hAnsi="Georgia"/>
          <w:color w:val="1B2A41"/>
          <w:sz w:val="19"/>
          <w:szCs w:val="19"/>
        </w:rPr>
        <w:t xml:space="preserve">Fuyuan Shen, Vivian C. Sheer, and Ruobing Li. "Impact of Narratives on Persuasion in Health Communication: A Meta-Analysis." Journal of Advertising 44, no. 2 (2015): 105-113. </w:t>
      </w:r>
      <w:r>
        <w:rPr>
          <w:rFonts w:ascii="Georgia" w:cs="Georgia" w:eastAsia="Georgia" w:hAnsi="Georgia"/>
          <w:color w:val="5C6B7A"/>
          <w:sz w:val="19"/>
          <w:szCs w:val="19"/>
        </w:rPr>
        <w:t xml:space="preserve">https://pure.psu.edu/en/publications/impact-of-narratives-on-persuasion-in-health-communication-a-meta/</w:t>
      </w:r>
    </w:p>
    <w:p>
      <w:pPr>
        <w:tabs>
          <w:tab w:val="left" w:pos="480"/>
        </w:tabs>
        <w:spacing w:after="100" w:line="260"/>
        <w:ind w:left="480" w:hanging="480"/>
      </w:pPr>
      <w:r>
        <w:rPr>
          <w:rFonts w:ascii="Georgia" w:cs="Georgia" w:eastAsia="Georgia" w:hAnsi="Georgia"/>
          <w:color w:val="B5432F"/>
          <w:sz w:val="19"/>
          <w:szCs w:val="19"/>
        </w:rPr>
        <w:t xml:space="preserve">35.	</w:t>
      </w:r>
      <w:r>
        <w:rPr>
          <w:rFonts w:ascii="Georgia" w:cs="Georgia" w:eastAsia="Georgia" w:hAnsi="Georgia"/>
          <w:color w:val="1B2A41"/>
          <w:sz w:val="19"/>
          <w:szCs w:val="19"/>
        </w:rPr>
        <w:t xml:space="preserve">Daisy Fancourt and Saoirse Finn. What Is the Evidence on the Role of the Arts in Improving Health and Well-Being? A Scoping Review. Health Evidence Network Synthesis Report 67. Copenhagen: WHO Regional Office for Europe, 2019. </w:t>
      </w:r>
      <w:r>
        <w:rPr>
          <w:rFonts w:ascii="Georgia" w:cs="Georgia" w:eastAsia="Georgia" w:hAnsi="Georgia"/>
          <w:color w:val="5C6B7A"/>
          <w:sz w:val="19"/>
          <w:szCs w:val="19"/>
        </w:rPr>
        <w:t xml:space="preserve">https://www.ncbi.nlm.nih.gov/books/NBK553773/</w:t>
      </w:r>
    </w:p>
    <w:p>
      <w:pPr>
        <w:tabs>
          <w:tab w:val="left" w:pos="480"/>
        </w:tabs>
        <w:spacing w:after="100" w:line="260"/>
        <w:ind w:left="480" w:hanging="480"/>
      </w:pPr>
      <w:r>
        <w:rPr>
          <w:rFonts w:ascii="Georgia" w:cs="Georgia" w:eastAsia="Georgia" w:hAnsi="Georgia"/>
          <w:color w:val="B5432F"/>
          <w:sz w:val="19"/>
          <w:szCs w:val="19"/>
        </w:rPr>
        <w:t xml:space="preserve">36.	</w:t>
      </w:r>
      <w:r>
        <w:rPr>
          <w:rFonts w:ascii="Georgia" w:cs="Georgia" w:eastAsia="Georgia" w:hAnsi="Georgia"/>
          <w:color w:val="1B2A41"/>
          <w:sz w:val="19"/>
          <w:szCs w:val="19"/>
        </w:rPr>
        <w:t xml:space="preserve">Matthew W. Kreuter et al. "Narrative Communication in Cancer Prevention and Control: A Framework to Guide Research and Application." Annals of Behavioral Medicine 33, no. 3 (June 2007): 221-235. </w:t>
      </w:r>
      <w:r>
        <w:rPr>
          <w:rFonts w:ascii="Georgia" w:cs="Georgia" w:eastAsia="Georgia" w:hAnsi="Georgia"/>
          <w:color w:val="5C6B7A"/>
          <w:sz w:val="19"/>
          <w:szCs w:val="19"/>
        </w:rPr>
        <w:t xml:space="preserve">https://doi.org/10.1007/BF02879904</w:t>
      </w:r>
    </w:p>
    <w:p>
      <w:pPr>
        <w:tabs>
          <w:tab w:val="left" w:pos="480"/>
        </w:tabs>
        <w:spacing w:after="100" w:line="260"/>
        <w:ind w:left="480" w:hanging="480"/>
      </w:pPr>
      <w:r>
        <w:rPr>
          <w:rFonts w:ascii="Georgia" w:cs="Georgia" w:eastAsia="Georgia" w:hAnsi="Georgia"/>
          <w:color w:val="B5432F"/>
          <w:sz w:val="19"/>
          <w:szCs w:val="19"/>
        </w:rPr>
        <w:t xml:space="preserve">37.	</w:t>
      </w:r>
      <w:r>
        <w:rPr>
          <w:rFonts w:ascii="Georgia" w:cs="Georgia" w:eastAsia="Georgia" w:hAnsi="Georgia"/>
          <w:color w:val="1B2A41"/>
          <w:sz w:val="19"/>
          <w:szCs w:val="19"/>
        </w:rPr>
        <w:t xml:space="preserve">Uri Hasson et al. "Neurocinematics: The Neuroscience of Film." Projections 2, no. 1 (Summer 2008): 1-26. </w:t>
      </w:r>
      <w:r>
        <w:rPr>
          <w:rFonts w:ascii="Georgia" w:cs="Georgia" w:eastAsia="Georgia" w:hAnsi="Georgia"/>
          <w:color w:val="5C6B7A"/>
          <w:sz w:val="19"/>
          <w:szCs w:val="19"/>
        </w:rPr>
        <w:t xml:space="preserve">https://www.motionpictures.org/wp-content/uploads/2013/01/Hasson-etal_NeuroCinematics2008.pdf</w:t>
      </w:r>
    </w:p>
    <w:p>
      <w:pPr>
        <w:tabs>
          <w:tab w:val="left" w:pos="480"/>
        </w:tabs>
        <w:spacing w:after="100" w:line="260"/>
        <w:ind w:left="480" w:hanging="480"/>
      </w:pPr>
      <w:r>
        <w:rPr>
          <w:rFonts w:ascii="Georgia" w:cs="Georgia" w:eastAsia="Georgia" w:hAnsi="Georgia"/>
          <w:color w:val="B5432F"/>
          <w:sz w:val="19"/>
          <w:szCs w:val="19"/>
        </w:rPr>
        <w:t xml:space="preserve">38.	</w:t>
      </w:r>
      <w:r>
        <w:rPr>
          <w:rFonts w:ascii="Georgia" w:cs="Georgia" w:eastAsia="Georgia" w:hAnsi="Georgia"/>
          <w:color w:val="1B2A41"/>
          <w:sz w:val="19"/>
          <w:szCs w:val="19"/>
        </w:rPr>
        <w:t xml:space="preserve">Greg J. Stephens, Lauren J. Silbert, and Uri Hasson. "Speaker-Listener Neural Coupling Underlies Successful Communication." Proceedings of the National Academy of Sciences 107, no. 32 (August 10, 2010): 14425-14430. </w:t>
      </w:r>
      <w:r>
        <w:rPr>
          <w:rFonts w:ascii="Georgia" w:cs="Georgia" w:eastAsia="Georgia" w:hAnsi="Georgia"/>
          <w:color w:val="5C6B7A"/>
          <w:sz w:val="19"/>
          <w:szCs w:val="19"/>
        </w:rPr>
        <w:t xml:space="preserve">https://www.pnas.org/doi/10.1073/pnas.1008662107</w:t>
      </w:r>
    </w:p>
    <w:p>
      <w:pPr>
        <w:tabs>
          <w:tab w:val="left" w:pos="480"/>
        </w:tabs>
        <w:spacing w:after="100" w:line="260"/>
        <w:ind w:left="480" w:hanging="480"/>
      </w:pPr>
      <w:r>
        <w:rPr>
          <w:rFonts w:ascii="Georgia" w:cs="Georgia" w:eastAsia="Georgia" w:hAnsi="Georgia"/>
          <w:color w:val="B5432F"/>
          <w:sz w:val="19"/>
          <w:szCs w:val="19"/>
        </w:rPr>
        <w:t xml:space="preserve">39.	</w:t>
      </w:r>
      <w:r>
        <w:rPr>
          <w:rFonts w:ascii="Georgia" w:cs="Georgia" w:eastAsia="Georgia" w:hAnsi="Georgia"/>
          <w:color w:val="1B2A41"/>
          <w:sz w:val="19"/>
          <w:szCs w:val="19"/>
        </w:rPr>
        <w:t xml:space="preserve">Deborah A. Small, George Loewenstein, and Paul Slovic. "Sympathy and Callousness: The Impact of Deliberative Thought on Donations to Identifiable and Statistical Victims." Organizational Behavior and Human Decision Processes 102 (2007): 143-153. </w:t>
      </w:r>
      <w:r>
        <w:rPr>
          <w:rFonts w:ascii="Georgia" w:cs="Georgia" w:eastAsia="Georgia" w:hAnsi="Georgia"/>
          <w:color w:val="5C6B7A"/>
          <w:sz w:val="19"/>
          <w:szCs w:val="19"/>
        </w:rPr>
        <w:t xml:space="preserve">https://www.cmu.edu/dietrich/sds/docs/loewenstein/SympathyCallous.pdf</w:t>
      </w:r>
    </w:p>
    <w:p>
      <w:pPr>
        <w:tabs>
          <w:tab w:val="left" w:pos="480"/>
        </w:tabs>
        <w:spacing w:after="100" w:line="260"/>
        <w:ind w:left="480" w:hanging="480"/>
      </w:pPr>
      <w:r>
        <w:rPr>
          <w:rFonts w:ascii="Georgia" w:cs="Georgia" w:eastAsia="Georgia" w:hAnsi="Georgia"/>
          <w:color w:val="B5432F"/>
          <w:sz w:val="19"/>
          <w:szCs w:val="19"/>
        </w:rPr>
        <w:t xml:space="preserve">40.	</w:t>
      </w:r>
      <w:r>
        <w:rPr>
          <w:rFonts w:ascii="Georgia" w:cs="Georgia" w:eastAsia="Georgia" w:hAnsi="Georgia"/>
          <w:color w:val="1B2A41"/>
          <w:sz w:val="19"/>
          <w:szCs w:val="19"/>
        </w:rPr>
        <w:t xml:space="preserve">U.S. Department of Health and Human Services, Office for Civil Rights. "Marketing" (HIPAA Privacy Rule Guidance). HHS.gov, revised April 3, 2003. </w:t>
      </w:r>
      <w:r>
        <w:rPr>
          <w:rFonts w:ascii="Georgia" w:cs="Georgia" w:eastAsia="Georgia" w:hAnsi="Georgia"/>
          <w:color w:val="5C6B7A"/>
          <w:sz w:val="19"/>
          <w:szCs w:val="19"/>
        </w:rPr>
        <w:t xml:space="preserve">https://www.hhs.gov/hipaa/for-professionals/privacy/guidance/marketing/index.html</w:t>
      </w:r>
    </w:p>
    <w:p>
      <w:pPr>
        <w:tabs>
          <w:tab w:val="left" w:pos="480"/>
        </w:tabs>
        <w:spacing w:after="100" w:line="260"/>
        <w:ind w:left="480" w:hanging="480"/>
      </w:pPr>
      <w:r>
        <w:rPr>
          <w:rFonts w:ascii="Georgia" w:cs="Georgia" w:eastAsia="Georgia" w:hAnsi="Georgia"/>
          <w:color w:val="B5432F"/>
          <w:sz w:val="19"/>
          <w:szCs w:val="19"/>
        </w:rPr>
        <w:t xml:space="preserve">41.	</w:t>
      </w:r>
      <w:r>
        <w:rPr>
          <w:rFonts w:ascii="Georgia" w:cs="Georgia" w:eastAsia="Georgia" w:hAnsi="Georgia"/>
          <w:color w:val="1B2A41"/>
          <w:sz w:val="19"/>
          <w:szCs w:val="19"/>
        </w:rPr>
        <w:t xml:space="preserve">Federal Trade Commission. "Federal Trade Commission Announces Final Rule Banning Fake Reviews and Testimonials." FTC Press Release, August 14, 2024. </w:t>
      </w:r>
      <w:r>
        <w:rPr>
          <w:rFonts w:ascii="Georgia" w:cs="Georgia" w:eastAsia="Georgia" w:hAnsi="Georgia"/>
          <w:color w:val="5C6B7A"/>
          <w:sz w:val="19"/>
          <w:szCs w:val="19"/>
        </w:rPr>
        <w:t xml:space="preserve">https://www.ftc.gov/news-events/news/press-releases/2024/08/federal-trade-commission-announces-final-rule-banning-fake-reviews-testimonials</w:t>
      </w:r>
    </w:p>
    <w:p>
      <w:pPr>
        <w:tabs>
          <w:tab w:val="left" w:pos="480"/>
        </w:tabs>
        <w:spacing w:after="100" w:line="260"/>
        <w:ind w:left="480" w:hanging="480"/>
      </w:pPr>
      <w:r>
        <w:rPr>
          <w:rFonts w:ascii="Georgia" w:cs="Georgia" w:eastAsia="Georgia" w:hAnsi="Georgia"/>
          <w:color w:val="B5432F"/>
          <w:sz w:val="19"/>
          <w:szCs w:val="19"/>
        </w:rPr>
        <w:t xml:space="preserve">42.	</w:t>
      </w:r>
      <w:r>
        <w:rPr>
          <w:rFonts w:ascii="Georgia" w:cs="Georgia" w:eastAsia="Georgia" w:hAnsi="Georgia"/>
          <w:color w:val="1B2A41"/>
          <w:sz w:val="19"/>
          <w:szCs w:val="19"/>
        </w:rPr>
        <w:t xml:space="preserve">Columbia University Irving Medical Center. "Program in Narrative Medicine." Columbia University, accessed September 7, 2026. </w:t>
      </w:r>
      <w:r>
        <w:rPr>
          <w:rFonts w:ascii="Georgia" w:cs="Georgia" w:eastAsia="Georgia" w:hAnsi="Georgia"/>
          <w:color w:val="5C6B7A"/>
          <w:sz w:val="19"/>
          <w:szCs w:val="19"/>
        </w:rPr>
        <w:t xml:space="preserve">https://www.genmed.columbia.edu/research/research-centers-and-programs/program-narrative-medicine</w:t>
      </w:r>
    </w:p>
    <w:p>
      <w:pPr>
        <w:tabs>
          <w:tab w:val="left" w:pos="480"/>
        </w:tabs>
        <w:spacing w:after="100" w:line="260"/>
        <w:ind w:left="480" w:hanging="480"/>
      </w:pPr>
      <w:r>
        <w:rPr>
          <w:rFonts w:ascii="Georgia" w:cs="Georgia" w:eastAsia="Georgia" w:hAnsi="Georgia"/>
          <w:color w:val="B5432F"/>
          <w:sz w:val="19"/>
          <w:szCs w:val="19"/>
        </w:rPr>
        <w:t xml:space="preserve">43.	</w:t>
      </w:r>
      <w:r>
        <w:rPr>
          <w:rFonts w:ascii="Georgia" w:cs="Georgia" w:eastAsia="Georgia" w:hAnsi="Georgia"/>
          <w:color w:val="1B2A41"/>
          <w:sz w:val="19"/>
          <w:szCs w:val="19"/>
        </w:rPr>
        <w:t xml:space="preserve">Johns Hopkins Center for Communication Programs. "A Conversation With Miguel Sabido, Entertainment-Education Pioneer." JHU CCP, April 30, 2018. </w:t>
      </w:r>
      <w:r>
        <w:rPr>
          <w:rFonts w:ascii="Georgia" w:cs="Georgia" w:eastAsia="Georgia" w:hAnsi="Georgia"/>
          <w:color w:val="5C6B7A"/>
          <w:sz w:val="19"/>
          <w:szCs w:val="19"/>
        </w:rPr>
        <w:t xml:space="preserve">https://ccp.jhu.edu/2018/04/30/miguel-sabido-entertainment-education-pioneer</w:t>
      </w:r>
    </w:p>
    <w:p>
      <w:pPr>
        <w:tabs>
          <w:tab w:val="left" w:pos="480"/>
        </w:tabs>
        <w:spacing w:after="100" w:line="260"/>
        <w:ind w:left="480" w:hanging="480"/>
      </w:pPr>
      <w:r>
        <w:rPr>
          <w:rFonts w:ascii="Georgia" w:cs="Georgia" w:eastAsia="Georgia" w:hAnsi="Georgia"/>
          <w:color w:val="B5432F"/>
          <w:sz w:val="19"/>
          <w:szCs w:val="19"/>
        </w:rPr>
        <w:t xml:space="preserve">44.	</w:t>
      </w:r>
      <w:r>
        <w:rPr>
          <w:rFonts w:ascii="Georgia" w:cs="Georgia" w:eastAsia="Georgia" w:hAnsi="Georgia"/>
          <w:color w:val="1B2A41"/>
          <w:sz w:val="19"/>
          <w:szCs w:val="19"/>
        </w:rPr>
        <w:t xml:space="preserve">Hollywood, Health &amp; Society, USC Annenberg Norman Lear Center. "About Us." Accessed September 7, 2026. </w:t>
      </w:r>
      <w:r>
        <w:rPr>
          <w:rFonts w:ascii="Georgia" w:cs="Georgia" w:eastAsia="Georgia" w:hAnsi="Georgia"/>
          <w:color w:val="5C6B7A"/>
          <w:sz w:val="19"/>
          <w:szCs w:val="19"/>
        </w:rPr>
        <w:t xml:space="preserve">https://hollywoodhealthandsociety.org/about-us/</w:t>
      </w:r>
    </w:p>
    <w:p>
      <w:pPr>
        <w:tabs>
          <w:tab w:val="left" w:pos="480"/>
        </w:tabs>
        <w:spacing w:after="100" w:line="260"/>
        <w:ind w:left="480" w:hanging="480"/>
      </w:pPr>
      <w:r>
        <w:rPr>
          <w:rFonts w:ascii="Georgia" w:cs="Georgia" w:eastAsia="Georgia" w:hAnsi="Georgia"/>
          <w:color w:val="B5432F"/>
          <w:sz w:val="19"/>
          <w:szCs w:val="19"/>
        </w:rPr>
        <w:t xml:space="preserve">45.	</w:t>
      </w:r>
      <w:r>
        <w:rPr>
          <w:rFonts w:ascii="Georgia" w:cs="Georgia" w:eastAsia="Georgia" w:hAnsi="Georgia"/>
          <w:color w:val="1B2A41"/>
          <w:sz w:val="19"/>
          <w:szCs w:val="19"/>
        </w:rPr>
        <w:t xml:space="preserve">Hua Wang and Arvind Singhal. "East Los High: Transmedia Edutainment to Promote the Sexual and Reproductive Health of Young Latina/o Americans." American Journal of Public Health 106, no. 6 (2016): 1002-1010. </w:t>
      </w:r>
      <w:r>
        <w:rPr>
          <w:rFonts w:ascii="Georgia" w:cs="Georgia" w:eastAsia="Georgia" w:hAnsi="Georgia"/>
          <w:color w:val="5C6B7A"/>
          <w:sz w:val="19"/>
          <w:szCs w:val="19"/>
        </w:rPr>
        <w:t xml:space="preserve">https://ideas.repec.org/a/aph/ajpbhl/10.2105-ajph.2016.303072_7.html</w:t>
      </w:r>
    </w:p>
    <w:p>
      <w:pPr>
        <w:tabs>
          <w:tab w:val="left" w:pos="480"/>
        </w:tabs>
        <w:spacing w:after="100" w:line="260"/>
        <w:ind w:left="480" w:hanging="480"/>
      </w:pPr>
      <w:r>
        <w:rPr>
          <w:rFonts w:ascii="Georgia" w:cs="Georgia" w:eastAsia="Georgia" w:hAnsi="Georgia"/>
          <w:color w:val="B5432F"/>
          <w:sz w:val="19"/>
          <w:szCs w:val="19"/>
        </w:rPr>
        <w:t xml:space="preserve">46.	</w:t>
      </w:r>
      <w:r>
        <w:rPr>
          <w:rFonts w:ascii="Georgia" w:cs="Georgia" w:eastAsia="Georgia" w:hAnsi="Georgia"/>
          <w:color w:val="1B2A41"/>
          <w:sz w:val="19"/>
          <w:szCs w:val="19"/>
        </w:rPr>
        <w:t xml:space="preserve">University at Buffalo. "Transmedia Storytelling Can Be an Effective Health Intervention." University at Buffalo News, September 22, 2016. </w:t>
      </w:r>
      <w:r>
        <w:rPr>
          <w:rFonts w:ascii="Georgia" w:cs="Georgia" w:eastAsia="Georgia" w:hAnsi="Georgia"/>
          <w:color w:val="5C6B7A"/>
          <w:sz w:val="19"/>
          <w:szCs w:val="19"/>
        </w:rPr>
        <w:t xml:space="preserve">https://www.buffalo.edu/news/releases/2016/09/039.html</w:t>
      </w:r>
    </w:p>
    <w:p>
      <w:pPr>
        <w:tabs>
          <w:tab w:val="left" w:pos="480"/>
        </w:tabs>
        <w:spacing w:after="100" w:line="260"/>
        <w:ind w:left="480" w:hanging="480"/>
      </w:pPr>
      <w:r>
        <w:rPr>
          <w:rFonts w:ascii="Georgia" w:cs="Georgia" w:eastAsia="Georgia" w:hAnsi="Georgia"/>
          <w:color w:val="B5432F"/>
          <w:sz w:val="19"/>
          <w:szCs w:val="19"/>
        </w:rPr>
        <w:t xml:space="preserve">47.	</w:t>
      </w:r>
      <w:r>
        <w:rPr>
          <w:rFonts w:ascii="Georgia" w:cs="Georgia" w:eastAsia="Georgia" w:hAnsi="Georgia"/>
          <w:color w:val="1B2A41"/>
          <w:sz w:val="19"/>
          <w:szCs w:val="19"/>
        </w:rPr>
        <w:t xml:space="preserve">SHOOTonline. "USC Norman Lear Center Finds 'The Pitt' Inspires Real-World Action; Series Receives Culture of Health Award." SHOOTonline, October 28, 2025. </w:t>
      </w:r>
      <w:r>
        <w:rPr>
          <w:rFonts w:ascii="Georgia" w:cs="Georgia" w:eastAsia="Georgia" w:hAnsi="Georgia"/>
          <w:color w:val="5C6B7A"/>
          <w:sz w:val="19"/>
          <w:szCs w:val="19"/>
        </w:rPr>
        <w:t xml:space="preserve">https://www.shootonline.com/article/usc-norman-lear-center-finds-the-pitt-inspires-real-world-action-series-receives-culture-health-award/</w:t>
      </w:r>
    </w:p>
    <w:p>
      <w:pPr>
        <w:tabs>
          <w:tab w:val="left" w:pos="480"/>
        </w:tabs>
        <w:spacing w:after="100" w:line="260"/>
        <w:ind w:left="480" w:hanging="480"/>
      </w:pPr>
      <w:r>
        <w:rPr>
          <w:rFonts w:ascii="Georgia" w:cs="Georgia" w:eastAsia="Georgia" w:hAnsi="Georgia"/>
          <w:color w:val="B5432F"/>
          <w:sz w:val="19"/>
          <w:szCs w:val="19"/>
        </w:rPr>
        <w:t xml:space="preserve">48.	</w:t>
      </w:r>
      <w:r>
        <w:rPr>
          <w:rFonts w:ascii="Georgia" w:cs="Georgia" w:eastAsia="Georgia" w:hAnsi="Georgia"/>
          <w:color w:val="1B2A41"/>
          <w:sz w:val="19"/>
          <w:szCs w:val="19"/>
        </w:rPr>
        <w:t xml:space="preserve">Centers for Disease Control and Prevention. "More Than 100,000 Americans Quit Smoking Due to National Media Campaign." CDC Press Release, September 9, 2013. </w:t>
      </w:r>
      <w:r>
        <w:rPr>
          <w:rFonts w:ascii="Georgia" w:cs="Georgia" w:eastAsia="Georgia" w:hAnsi="Georgia"/>
          <w:color w:val="5C6B7A"/>
          <w:sz w:val="19"/>
          <w:szCs w:val="19"/>
        </w:rPr>
        <w:t xml:space="preserve">https://archive.cdc.gov/www_cdc_gov/media/releases/2013/p0909-tips-campaign-results.html</w:t>
      </w:r>
    </w:p>
    <w:p>
      <w:pPr>
        <w:tabs>
          <w:tab w:val="left" w:pos="480"/>
        </w:tabs>
        <w:spacing w:after="100" w:line="260"/>
        <w:ind w:left="480" w:hanging="480"/>
      </w:pPr>
      <w:r>
        <w:rPr>
          <w:rFonts w:ascii="Georgia" w:cs="Georgia" w:eastAsia="Georgia" w:hAnsi="Georgia"/>
          <w:color w:val="B5432F"/>
          <w:sz w:val="19"/>
          <w:szCs w:val="19"/>
        </w:rPr>
        <w:t xml:space="preserve">49.	</w:t>
      </w:r>
      <w:r>
        <w:rPr>
          <w:rFonts w:ascii="Georgia" w:cs="Georgia" w:eastAsia="Georgia" w:hAnsi="Georgia"/>
          <w:color w:val="1B2A41"/>
          <w:sz w:val="19"/>
          <w:szCs w:val="19"/>
        </w:rPr>
        <w:t xml:space="preserve">Centers for Disease Control and Prevention. "CDC's Tips From Former Smokers Campaign Provided Outstanding Return on Investment." CDC Press Release, December 10, 2014. </w:t>
      </w:r>
      <w:r>
        <w:rPr>
          <w:rFonts w:ascii="Georgia" w:cs="Georgia" w:eastAsia="Georgia" w:hAnsi="Georgia"/>
          <w:color w:val="5C6B7A"/>
          <w:sz w:val="19"/>
          <w:szCs w:val="19"/>
        </w:rPr>
        <w:t xml:space="preserve">https://archive.cdc.gov/www_cdc_gov/media/releases/2014/p1210-TIPS-ROI.html</w:t>
      </w:r>
    </w:p>
    <w:p>
      <w:pPr>
        <w:tabs>
          <w:tab w:val="left" w:pos="480"/>
        </w:tabs>
        <w:spacing w:after="100" w:line="260"/>
        <w:ind w:left="480" w:hanging="480"/>
      </w:pPr>
      <w:r>
        <w:rPr>
          <w:rFonts w:ascii="Georgia" w:cs="Georgia" w:eastAsia="Georgia" w:hAnsi="Georgia"/>
          <w:color w:val="B5432F"/>
          <w:sz w:val="19"/>
          <w:szCs w:val="19"/>
        </w:rPr>
        <w:t xml:space="preserve">50.	</w:t>
      </w:r>
      <w:r>
        <w:rPr>
          <w:rFonts w:ascii="Georgia" w:cs="Georgia" w:eastAsia="Georgia" w:hAnsi="Georgia"/>
          <w:color w:val="1B2A41"/>
          <w:sz w:val="19"/>
          <w:szCs w:val="19"/>
        </w:rPr>
        <w:t xml:space="preserve">Centers for Disease Control and Prevention. "CDC's Tips Campaign Led 1 Million U.S. Adults to Quit Smoking During 2012-2018." CDC Press Release, August 27, 2020. </w:t>
      </w:r>
      <w:r>
        <w:rPr>
          <w:rFonts w:ascii="Georgia" w:cs="Georgia" w:eastAsia="Georgia" w:hAnsi="Georgia"/>
          <w:color w:val="5C6B7A"/>
          <w:sz w:val="19"/>
          <w:szCs w:val="19"/>
        </w:rPr>
        <w:t xml:space="preserve">https://archive.cdc.gov/www_cdc_gov/media/releases/2020/p0824-tips-campaign-quit-smoking.html</w:t>
      </w:r>
    </w:p>
    <w:p>
      <w:pPr>
        <w:tabs>
          <w:tab w:val="left" w:pos="480"/>
        </w:tabs>
        <w:spacing w:after="100" w:line="260"/>
        <w:ind w:left="480" w:hanging="480"/>
      </w:pPr>
      <w:r>
        <w:rPr>
          <w:rFonts w:ascii="Georgia" w:cs="Georgia" w:eastAsia="Georgia" w:hAnsi="Georgia"/>
          <w:color w:val="B5432F"/>
          <w:sz w:val="19"/>
          <w:szCs w:val="19"/>
        </w:rPr>
        <w:t xml:space="preserve">51.	</w:t>
      </w:r>
      <w:r>
        <w:rPr>
          <w:rFonts w:ascii="Georgia" w:cs="Georgia" w:eastAsia="Georgia" w:hAnsi="Georgia"/>
          <w:color w:val="1B2A41"/>
          <w:sz w:val="19"/>
          <w:szCs w:val="19"/>
        </w:rPr>
        <w:t xml:space="preserve">Matthew C. Farrelly, James Nonnemaker, Kevin C. Davis, and Altijani Hussin. "The Influence of the National truth Campaign on Smoking Initiation." American Journal of Preventive Medicine 36, no. 5 (2009): 379-384. </w:t>
      </w:r>
      <w:r>
        <w:rPr>
          <w:rFonts w:ascii="Georgia" w:cs="Georgia" w:eastAsia="Georgia" w:hAnsi="Georgia"/>
          <w:color w:val="5C6B7A"/>
          <w:sz w:val="19"/>
          <w:szCs w:val="19"/>
        </w:rPr>
        <w:t xml:space="preserve">https://pubmed.ncbi.nlm.nih.gov/19211213/</w:t>
      </w:r>
    </w:p>
    <w:p>
      <w:pPr>
        <w:tabs>
          <w:tab w:val="left" w:pos="480"/>
        </w:tabs>
        <w:spacing w:after="100" w:line="260"/>
        <w:ind w:left="480" w:hanging="480"/>
      </w:pPr>
      <w:r>
        <w:rPr>
          <w:rFonts w:ascii="Georgia" w:cs="Georgia" w:eastAsia="Georgia" w:hAnsi="Georgia"/>
          <w:color w:val="B5432F"/>
          <w:sz w:val="19"/>
          <w:szCs w:val="19"/>
        </w:rPr>
        <w:t xml:space="preserve">52.	</w:t>
      </w:r>
      <w:r>
        <w:rPr>
          <w:rFonts w:ascii="Georgia" w:cs="Georgia" w:eastAsia="Georgia" w:hAnsi="Georgia"/>
          <w:color w:val="1B2A41"/>
          <w:sz w:val="19"/>
          <w:szCs w:val="19"/>
        </w:rPr>
        <w:t xml:space="preserve">U.S. Food and Drug Administration. "Considerations for the Use of Artificial Intelligence To Support Regulatory Decision-Making for Drug and Biological Products; Draft Guidance for Industry." Federal Register, January 7, 2025. </w:t>
      </w:r>
      <w:r>
        <w:rPr>
          <w:rFonts w:ascii="Georgia" w:cs="Georgia" w:eastAsia="Georgia" w:hAnsi="Georgia"/>
          <w:color w:val="5C6B7A"/>
          <w:sz w:val="19"/>
          <w:szCs w:val="19"/>
        </w:rPr>
        <w:t xml:space="preserve">https://www.federalregister.gov/documents/2025/01/07/2024-31542/considerations-for-the-use-of-artificial-intelligence-to-support-regulatory-decision-making-for-drug</w:t>
      </w:r>
    </w:p>
    <w:p>
      <w:pPr>
        <w:tabs>
          <w:tab w:val="left" w:pos="480"/>
        </w:tabs>
        <w:spacing w:after="100" w:line="260"/>
        <w:ind w:left="480" w:hanging="480"/>
      </w:pPr>
      <w:r>
        <w:rPr>
          <w:rFonts w:ascii="Georgia" w:cs="Georgia" w:eastAsia="Georgia" w:hAnsi="Georgia"/>
          <w:color w:val="B5432F"/>
          <w:sz w:val="19"/>
          <w:szCs w:val="19"/>
        </w:rPr>
        <w:t xml:space="preserve">53.	</w:t>
      </w:r>
      <w:r>
        <w:rPr>
          <w:rFonts w:ascii="Georgia" w:cs="Georgia" w:eastAsia="Georgia" w:hAnsi="Georgia"/>
          <w:color w:val="1B2A41"/>
          <w:sz w:val="19"/>
          <w:szCs w:val="19"/>
        </w:rPr>
        <w:t xml:space="preserve">Lucas Museum of Narrative Art. "Lucas Museum of Narrative Art Opens to the Public on September 22, 2026." Press Release, September 2, 2026. </w:t>
      </w:r>
      <w:r>
        <w:rPr>
          <w:rFonts w:ascii="Georgia" w:cs="Georgia" w:eastAsia="Georgia" w:hAnsi="Georgia"/>
          <w:color w:val="5C6B7A"/>
          <w:sz w:val="19"/>
          <w:szCs w:val="19"/>
        </w:rPr>
        <w:t xml:space="preserve">https://lucasmuseum.org/press/lucas-museum-of-narrative-art-opens-to-the-public-on-september-22-2026</w:t>
      </w:r>
    </w:p>
    <w:p>
      <w:pPr>
        <w:tabs>
          <w:tab w:val="left" w:pos="480"/>
        </w:tabs>
        <w:spacing w:after="100" w:line="260"/>
        <w:ind w:left="480" w:hanging="480"/>
      </w:pPr>
      <w:r>
        <w:rPr>
          <w:rFonts w:ascii="Georgia" w:cs="Georgia" w:eastAsia="Georgia" w:hAnsi="Georgia"/>
          <w:color w:val="B5432F"/>
          <w:sz w:val="19"/>
          <w:szCs w:val="19"/>
        </w:rPr>
        <w:t xml:space="preserve">54.	</w:t>
      </w:r>
      <w:r>
        <w:rPr>
          <w:rFonts w:ascii="Georgia" w:cs="Georgia" w:eastAsia="Georgia" w:hAnsi="Georgia"/>
          <w:color w:val="1B2A41"/>
          <w:sz w:val="19"/>
          <w:szCs w:val="19"/>
        </w:rPr>
        <w:t xml:space="preserve">Lucas Museum of Narrative Art. "The Lucas Museum of Narrative Art's Inaugural Exhibitions." Press Release, April 30, 2026. </w:t>
      </w:r>
      <w:r>
        <w:rPr>
          <w:rFonts w:ascii="Georgia" w:cs="Georgia" w:eastAsia="Georgia" w:hAnsi="Georgia"/>
          <w:color w:val="5C6B7A"/>
          <w:sz w:val="19"/>
          <w:szCs w:val="19"/>
        </w:rPr>
        <w:t xml:space="preserve">https://lucasmuseum.org/press/inaugural-exhibitions</w:t>
      </w:r>
    </w:p>
    <w:p>
      <w:pPr>
        <w:tabs>
          <w:tab w:val="left" w:pos="480"/>
        </w:tabs>
        <w:spacing w:after="100" w:line="260"/>
        <w:ind w:left="480" w:hanging="480"/>
      </w:pPr>
      <w:r>
        <w:rPr>
          <w:rFonts w:ascii="Georgia" w:cs="Georgia" w:eastAsia="Georgia" w:hAnsi="Georgia"/>
          <w:color w:val="B5432F"/>
          <w:sz w:val="19"/>
          <w:szCs w:val="19"/>
        </w:rPr>
        <w:t xml:space="preserve">55.	</w:t>
      </w:r>
      <w:r>
        <w:rPr>
          <w:rFonts w:ascii="Georgia" w:cs="Georgia" w:eastAsia="Georgia" w:hAnsi="Georgia"/>
          <w:color w:val="1B2A41"/>
          <w:sz w:val="19"/>
          <w:szCs w:val="19"/>
        </w:rPr>
        <w:t xml:space="preserve">KTLA. "Over San Francisco, Los Angeles' Expo Park Chosen as Home of George Lucas' $1 Billion Museum." KTLA, January 10, 2017. </w:t>
      </w:r>
      <w:r>
        <w:rPr>
          <w:rFonts w:ascii="Georgia" w:cs="Georgia" w:eastAsia="Georgia" w:hAnsi="Georgia"/>
          <w:color w:val="5C6B7A"/>
          <w:sz w:val="19"/>
          <w:szCs w:val="19"/>
        </w:rPr>
        <w:t xml:space="preserve">https://ktla.com/2017/01/10/over-san-francisco-los-angeles-expo-park-chosen-as-home-of-george-lucas-1-billion-museum/</w:t>
      </w:r>
    </w:p>
    <w:p>
      <w:pPr>
        <w:tabs>
          <w:tab w:val="left" w:pos="480"/>
        </w:tabs>
        <w:spacing w:after="100" w:line="260"/>
        <w:ind w:left="480" w:hanging="480"/>
      </w:pPr>
      <w:r>
        <w:rPr>
          <w:rFonts w:ascii="Georgia" w:cs="Georgia" w:eastAsia="Georgia" w:hAnsi="Georgia"/>
          <w:color w:val="B5432F"/>
          <w:sz w:val="19"/>
          <w:szCs w:val="19"/>
        </w:rPr>
        <w:t xml:space="preserve">56.	</w:t>
      </w:r>
      <w:r>
        <w:rPr>
          <w:rFonts w:ascii="Georgia" w:cs="Georgia" w:eastAsia="Georgia" w:hAnsi="Georgia"/>
          <w:color w:val="1B2A41"/>
          <w:sz w:val="19"/>
          <w:szCs w:val="19"/>
        </w:rPr>
        <w:t xml:space="preserve">The Art Newspaper. "$1bn Lucas Museum of Narrative Art Lifts Off at Long Last." The Art Newspaper, September 7, 2026. </w:t>
      </w:r>
      <w:r>
        <w:rPr>
          <w:rFonts w:ascii="Georgia" w:cs="Georgia" w:eastAsia="Georgia" w:hAnsi="Georgia"/>
          <w:color w:val="5C6B7A"/>
          <w:sz w:val="19"/>
          <w:szCs w:val="19"/>
        </w:rPr>
        <w:t xml:space="preserve">https://www.theartnewspaper.com/2026/09/07/lucas-museum-narrative-art-opening-preview-los-angeles</w:t>
      </w:r>
    </w:p>
    <w:p>
      <w:pPr>
        <w:tabs>
          <w:tab w:val="left" w:pos="480"/>
        </w:tabs>
        <w:spacing w:after="100" w:line="260"/>
        <w:ind w:left="480" w:hanging="480"/>
      </w:pPr>
      <w:r>
        <w:rPr>
          <w:rFonts w:ascii="Georgia" w:cs="Georgia" w:eastAsia="Georgia" w:hAnsi="Georgia"/>
          <w:color w:val="B5432F"/>
          <w:sz w:val="19"/>
          <w:szCs w:val="19"/>
        </w:rPr>
        <w:t xml:space="preserve">57.	</w:t>
      </w:r>
      <w:r>
        <w:rPr>
          <w:rFonts w:ascii="Georgia" w:cs="Georgia" w:eastAsia="Georgia" w:hAnsi="Georgia"/>
          <w:color w:val="1B2A41"/>
          <w:sz w:val="19"/>
          <w:szCs w:val="19"/>
        </w:rPr>
        <w:t xml:space="preserve">CBS News Chicago. "Lucas Museum Prepares to Open in Los Angeles 10 Years After Plan for Chicago Was Called Off." CBS News, September 3, 2026. </w:t>
      </w:r>
      <w:r>
        <w:rPr>
          <w:rFonts w:ascii="Georgia" w:cs="Georgia" w:eastAsia="Georgia" w:hAnsi="Georgia"/>
          <w:color w:val="5C6B7A"/>
          <w:sz w:val="19"/>
          <w:szCs w:val="19"/>
        </w:rPr>
        <w:t xml:space="preserve">https://www.cbsnews.com/chicago/news/lucas-museum-prepares-open-los-angeles-plan-chicago-called-off/</w:t>
      </w:r>
    </w:p>
    <w:p>
      <w:pPr>
        <w:tabs>
          <w:tab w:val="left" w:pos="480"/>
        </w:tabs>
        <w:spacing w:after="100" w:line="260"/>
        <w:ind w:left="480" w:hanging="480"/>
      </w:pPr>
      <w:r>
        <w:rPr>
          <w:rFonts w:ascii="Georgia" w:cs="Georgia" w:eastAsia="Georgia" w:hAnsi="Georgia"/>
          <w:color w:val="B5432F"/>
          <w:sz w:val="19"/>
          <w:szCs w:val="19"/>
        </w:rPr>
        <w:t xml:space="preserve">58.	</w:t>
      </w:r>
      <w:r>
        <w:rPr>
          <w:rFonts w:ascii="Georgia" w:cs="Georgia" w:eastAsia="Georgia" w:hAnsi="Georgia"/>
          <w:color w:val="1B2A41"/>
          <w:sz w:val="19"/>
          <w:szCs w:val="19"/>
        </w:rPr>
        <w:t xml:space="preserve">Min Chen. "Forget a Galaxy Far, Far Away. The New George Lucas Museum Is Finally Here." Artnet News, September 3, 2026. </w:t>
      </w:r>
      <w:r>
        <w:rPr>
          <w:rFonts w:ascii="Georgia" w:cs="Georgia" w:eastAsia="Georgia" w:hAnsi="Georgia"/>
          <w:color w:val="5C6B7A"/>
          <w:sz w:val="19"/>
          <w:szCs w:val="19"/>
        </w:rPr>
        <w:t xml:space="preserve">https://news.artnet.com/art-world/lucas-museum-narrative-art-opens-2806326</w:t>
      </w:r>
    </w:p>
    <w:p>
      <w:pPr>
        <w:tabs>
          <w:tab w:val="left" w:pos="480"/>
        </w:tabs>
        <w:spacing w:after="100" w:line="260"/>
        <w:ind w:left="480" w:hanging="480"/>
      </w:pPr>
      <w:r>
        <w:rPr>
          <w:rFonts w:ascii="Georgia" w:cs="Georgia" w:eastAsia="Georgia" w:hAnsi="Georgia"/>
          <w:color w:val="B5432F"/>
          <w:sz w:val="19"/>
          <w:szCs w:val="19"/>
        </w:rPr>
        <w:t xml:space="preserve">59.	</w:t>
      </w:r>
      <w:r>
        <w:rPr>
          <w:rFonts w:ascii="Georgia" w:cs="Georgia" w:eastAsia="Georgia" w:hAnsi="Georgia"/>
          <w:color w:val="1B2A41"/>
          <w:sz w:val="19"/>
          <w:szCs w:val="19"/>
        </w:rPr>
        <w:t xml:space="preserve">Lucas Museum of Narrative Art. "Lucas Museum to Welcome South LA Neighbors With Free Admission." Press Release, July 9, 2026. </w:t>
      </w:r>
      <w:r>
        <w:rPr>
          <w:rFonts w:ascii="Georgia" w:cs="Georgia" w:eastAsia="Georgia" w:hAnsi="Georgia"/>
          <w:color w:val="5C6B7A"/>
          <w:sz w:val="19"/>
          <w:szCs w:val="19"/>
        </w:rPr>
        <w:t xml:space="preserve">https://lucasmuseum.org/press/lucas-museum-to-welcome-south-la-neighbors-with-free-admission</w:t>
      </w:r>
    </w:p>
    <w:p>
      <w:pPr>
        <w:tabs>
          <w:tab w:val="left" w:pos="480"/>
        </w:tabs>
        <w:spacing w:after="100" w:line="260"/>
        <w:ind w:left="480" w:hanging="480"/>
      </w:pPr>
      <w:r>
        <w:rPr>
          <w:rFonts w:ascii="Georgia" w:cs="Georgia" w:eastAsia="Georgia" w:hAnsi="Georgia"/>
          <w:color w:val="B5432F"/>
          <w:sz w:val="19"/>
          <w:szCs w:val="19"/>
        </w:rPr>
        <w:t xml:space="preserve">60.	</w:t>
      </w:r>
      <w:r>
        <w:rPr>
          <w:rFonts w:ascii="Georgia" w:cs="Georgia" w:eastAsia="Georgia" w:hAnsi="Georgia"/>
          <w:color w:val="1B2A41"/>
          <w:sz w:val="19"/>
          <w:szCs w:val="19"/>
        </w:rPr>
        <w:t xml:space="preserve">Centers for Medicare &amp; Medicaid Services. "CMS Hospital Value-Based Purchasing Program Results for Fiscal Year 2020." CMS Fact Sheet, October 29, 2019. </w:t>
      </w:r>
      <w:r>
        <w:rPr>
          <w:rFonts w:ascii="Georgia" w:cs="Georgia" w:eastAsia="Georgia" w:hAnsi="Georgia"/>
          <w:color w:val="5C6B7A"/>
          <w:sz w:val="19"/>
          <w:szCs w:val="19"/>
        </w:rPr>
        <w:t xml:space="preserve">https://www.cms.gov/newsroom/fact-sheets/cms-hospital-value-based-purchasing-program-results-fiscal-year-2020</w:t>
      </w:r>
    </w:p>
    <w:p>
      <w:pPr>
        <w:tabs>
          <w:tab w:val="left" w:pos="480"/>
        </w:tabs>
        <w:spacing w:after="100" w:line="260"/>
        <w:ind w:left="480" w:hanging="480"/>
      </w:pPr>
      <w:r>
        <w:rPr>
          <w:rFonts w:ascii="Georgia" w:cs="Georgia" w:eastAsia="Georgia" w:hAnsi="Georgia"/>
          <w:color w:val="B5432F"/>
          <w:sz w:val="19"/>
          <w:szCs w:val="19"/>
        </w:rPr>
        <w:t xml:space="preserve">61.	</w:t>
      </w:r>
      <w:r>
        <w:rPr>
          <w:rFonts w:ascii="Georgia" w:cs="Georgia" w:eastAsia="Georgia" w:hAnsi="Georgia"/>
          <w:color w:val="1B2A41"/>
          <w:sz w:val="19"/>
          <w:szCs w:val="19"/>
        </w:rPr>
        <w:t xml:space="preserve">Deloitte Center for Health Solutions. "The Value of Patient Experience: Hospitals With Better Patient-Reported Experience Perform Better Financially." Deloitte. </w:t>
      </w:r>
      <w:r>
        <w:rPr>
          <w:rFonts w:ascii="Georgia" w:cs="Georgia" w:eastAsia="Georgia" w:hAnsi="Georgia"/>
          <w:color w:val="5C6B7A"/>
          <w:sz w:val="19"/>
          <w:szCs w:val="19"/>
        </w:rPr>
        <w:t xml:space="preserve">https://www.deloitte.com/us/en/Industries/life-sciences-health-care/articles/hospitals-patient-experience.html</w:t>
      </w:r>
    </w:p>
    <w:p>
      <w:pPr>
        <w:tabs>
          <w:tab w:val="left" w:pos="480"/>
        </w:tabs>
        <w:spacing w:after="100" w:line="260"/>
        <w:ind w:left="480" w:hanging="480"/>
      </w:pPr>
      <w:r>
        <w:rPr>
          <w:rFonts w:ascii="Georgia" w:cs="Georgia" w:eastAsia="Georgia" w:hAnsi="Georgia"/>
          <w:color w:val="B5432F"/>
          <w:sz w:val="19"/>
          <w:szCs w:val="19"/>
        </w:rPr>
        <w:t xml:space="preserve">62.	</w:t>
      </w:r>
      <w:r>
        <w:rPr>
          <w:rFonts w:ascii="Georgia" w:cs="Georgia" w:eastAsia="Georgia" w:hAnsi="Georgia"/>
          <w:color w:val="1B2A41"/>
          <w:sz w:val="19"/>
          <w:szCs w:val="19"/>
        </w:rPr>
        <w:t xml:space="preserve">Lisa M. Schwartz and Steven Woloshin. "Medical Marketing in the United States, 1997-2016." JAMA 321, no. 1 (January 1, 2019). </w:t>
      </w:r>
      <w:r>
        <w:rPr>
          <w:rFonts w:ascii="Georgia" w:cs="Georgia" w:eastAsia="Georgia" w:hAnsi="Georgia"/>
          <w:color w:val="5C6B7A"/>
          <w:sz w:val="19"/>
          <w:szCs w:val="19"/>
        </w:rPr>
        <w:t xml:space="preserve">https://doi.org/10.1001/jama.2018.19320</w:t>
      </w:r>
    </w:p>
    <w:p>
      <w:pPr>
        <w:tabs>
          <w:tab w:val="left" w:pos="480"/>
        </w:tabs>
        <w:spacing w:after="100" w:line="260"/>
        <w:ind w:left="480" w:hanging="480"/>
      </w:pPr>
      <w:r>
        <w:rPr>
          <w:rFonts w:ascii="Georgia" w:cs="Georgia" w:eastAsia="Georgia" w:hAnsi="Georgia"/>
          <w:color w:val="B5432F"/>
          <w:sz w:val="19"/>
          <w:szCs w:val="19"/>
        </w:rPr>
        <w:t xml:space="preserve">63.	</w:t>
      </w:r>
      <w:r>
        <w:rPr>
          <w:rFonts w:ascii="Georgia" w:cs="Georgia" w:eastAsia="Georgia" w:hAnsi="Georgia"/>
          <w:color w:val="1B2A41"/>
          <w:sz w:val="19"/>
          <w:szCs w:val="19"/>
        </w:rPr>
        <w:t xml:space="preserve">Gunther Eysenbach. "The Law of Attrition." Journal of Medical Internet Research 7, no. 1 (March 31, 2005): e11. </w:t>
      </w:r>
      <w:r>
        <w:rPr>
          <w:rFonts w:ascii="Georgia" w:cs="Georgia" w:eastAsia="Georgia" w:hAnsi="Georgia"/>
          <w:color w:val="5C6B7A"/>
          <w:sz w:val="19"/>
          <w:szCs w:val="19"/>
        </w:rPr>
        <w:t xml:space="preserve">https://www.jmir.org/2005/1/e11/</w:t>
      </w:r>
    </w:p>
    <w:p>
      <w:pPr>
        <w:tabs>
          <w:tab w:val="left" w:pos="480"/>
        </w:tabs>
        <w:spacing w:after="100" w:line="260"/>
        <w:ind w:left="480" w:hanging="480"/>
      </w:pPr>
      <w:r>
        <w:rPr>
          <w:rFonts w:ascii="Georgia" w:cs="Georgia" w:eastAsia="Georgia" w:hAnsi="Georgia"/>
          <w:color w:val="B5432F"/>
          <w:sz w:val="19"/>
          <w:szCs w:val="19"/>
        </w:rPr>
        <w:t xml:space="preserve">64.	</w:t>
      </w:r>
      <w:r>
        <w:rPr>
          <w:rFonts w:ascii="Georgia" w:cs="Georgia" w:eastAsia="Georgia" w:hAnsi="Georgia"/>
          <w:color w:val="1B2A41"/>
          <w:sz w:val="19"/>
          <w:szCs w:val="19"/>
        </w:rPr>
        <w:t xml:space="preserve">Neha Deshpande et al. "Video-Based Educational Interventions for Patients With Chronic Illnesses: Systematic Review." Journal of Medical Internet Research 25 (July 19, 2023): e41092. </w:t>
      </w:r>
      <w:r>
        <w:rPr>
          <w:rFonts w:ascii="Georgia" w:cs="Georgia" w:eastAsia="Georgia" w:hAnsi="Georgia"/>
          <w:color w:val="5C6B7A"/>
          <w:sz w:val="19"/>
          <w:szCs w:val="19"/>
        </w:rPr>
        <w:t xml:space="preserve">https://www.jmir.org/2023/1/e41092</w:t>
      </w:r>
    </w:p>
    <w:p>
      <w:pPr>
        <w:pStyle w:val="Heading1"/>
        <w:keepNext/>
        <w:pageBreakBefore/>
        <w:spacing w:after="280" w:before="0"/>
      </w:pPr>
      <w:r>
        <w:rPr>
          <w:rFonts w:ascii="Helvetica Neue" w:cs="Helvetica Neue" w:eastAsia="Helvetica Neue" w:hAnsi="Helvetica Neue"/>
          <w:b/>
          <w:bCs/>
          <w:color w:val="1B2A41"/>
          <w:sz w:val="40"/>
          <w:szCs w:val="40"/>
        </w:rPr>
        <w:t xml:space="preserve">About Ritual Ads</w:t>
      </w:r>
    </w:p>
    <w:p>
      <w:pPr>
        <w:spacing w:after="160" w:line="300"/>
        <w:jc w:val="left"/>
      </w:pPr>
      <w:r>
        <w:rPr>
          <w:rFonts w:ascii="Georgia" w:cs="Georgia" w:eastAsia="Georgia" w:hAnsi="Georgia"/>
          <w:color w:val="1B2A41"/>
          <w:sz w:val="22"/>
          <w:szCs w:val="22"/>
        </w:rPr>
        <w:t xml:space="preserve">Ritual Ads is a cinematic intelligence studio, powered by Ritual Engine.</w:t>
      </w:r>
    </w:p>
    <w:p>
      <w:pPr>
        <w:spacing w:after="160" w:line="300"/>
        <w:jc w:val="left"/>
      </w:pPr>
      <w:r>
        <w:rPr>
          <w:rFonts w:ascii="Georgia" w:cs="Georgia" w:eastAsia="Georgia" w:hAnsi="Georgia"/>
          <w:color w:val="1B2A41"/>
          <w:sz w:val="22"/>
          <w:szCs w:val="22"/>
        </w:rPr>
        <w:t xml:space="preserve">Ritual Ads is the operating and decision layer for enterprise commercial creative. One governed system carries a campaign from brief to performance, across any AI model. Ritual Engine, the intelligence at the center of that system, is Ritual Ads' implementation of the Large Brand Model architecture for cinematic commercial creative, and the company is applying it to health and wellbeing.</w:t>
      </w:r>
    </w:p>
    <w:p>
      <w:pPr>
        <w:spacing w:after="160" w:line="300"/>
        <w:jc w:val="left"/>
      </w:pPr>
      <w:r>
        <w:rPr>
          <w:rFonts w:ascii="Georgia" w:cs="Georgia" w:eastAsia="Georgia" w:hAnsi="Georgia"/>
          <w:color w:val="1B2A41"/>
          <w:sz w:val="22"/>
          <w:szCs w:val="22"/>
        </w:rPr>
        <w:t xml:space="preserve">The company was founded by Jethro Rothe-Kushel, a 25-year veteran of cinematic production who served as a national board member and vice president of the Producers Guild of America. His career spans technology, production, and marketing, including work with Apple, Netflix, and American Express, and began in 1999 as a presidential research scholar in artificial intelligence and video sciences at Dartmouth College.</w:t>
      </w:r>
    </w:p>
    <w:p>
      <w:pPr>
        <w:spacing w:after="160" w:line="300"/>
        <w:jc w:val="left"/>
      </w:pPr>
      <w:r>
        <w:rPr>
          <w:rFonts w:ascii="Georgia" w:cs="Georgia" w:eastAsia="Georgia" w:hAnsi="Georgia"/>
          <w:color w:val="1B2A41"/>
          <w:sz w:val="22"/>
          <w:szCs w:val="22"/>
        </w:rPr>
        <w:t xml:space="preserve">Ritual Ads is headquartered in Beverly Hills, California.</w:t>
      </w:r>
    </w:p>
    <w:p>
      <w:pPr>
        <w:spacing w:after="160" w:line="300"/>
        <w:jc w:val="left"/>
      </w:pPr>
      <w:r>
        <w:rPr>
          <w:rFonts w:ascii="Georgia" w:cs="Georgia" w:eastAsia="Georgia" w:hAnsi="Georgia"/>
          <w:color w:val="1B2A41"/>
          <w:sz w:val="22"/>
          <w:szCs w:val="22"/>
        </w:rPr>
        <w:t xml:space="preserve">AI-assisted, human-directed, brand-controlled.</w:t>
      </w:r>
    </w:p>
    <w:sectPr>
      <w:headerReference w:type="default" r:id="rId7"/>
      <w:headerReference w:type="first" r:id="rId8"/>
      <w:footerReference w:type="default" r:id="rId9"/>
      <w:footerReference w:type="first" r:id="rId10"/>
      <w:pgSz w:w="12240" w:h="15840" w:orient="portrait"/>
      <w:pgMar w:top="1440" w:right="1500" w:bottom="1300" w:left="150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Neue" w:cs="Helvetica Neue" w:eastAsia="Helvetica Neue" w:hAnsi="Helvetica Neue"/>
        <w:color w:val="5C6B7A"/>
        <w:sz w:val="16"/>
        <w:szCs w:val="16"/>
      </w:rPr>
      <w:t xml:space="preserve">Ritual Ads, Inc.   </w:t>
    </w:r>
    <w:r>
      <w:rPr>
        <w:rFonts w:ascii="Helvetica Neue" w:cs="Helvetica Neue" w:eastAsia="Helvetica Neue" w:hAnsi="Helvetica Neue"/>
        <w:color w:val="5C6B7A"/>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Helvetica Neue" w:cs="Helvetica Neue" w:eastAsia="Helvetica Neue" w:hAnsi="Helvetica Neue"/>
        <w:color w:val="5C6B7A"/>
        <w:spacing w:val="20"/>
        <w:sz w:val="16"/>
        <w:szCs w:val="16"/>
      </w:rPr>
      <w:t xml:space="preserve">The Narrative Intelligence Studio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B2A4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80" w:before="0"/>
      <w:outlineLvl w:val="0"/>
    </w:pPr>
    <w:rPr>
      <w:rFonts w:ascii="Helvetica Neue" w:cs="Helvetica Neue" w:eastAsia="Helvetica Neue" w:hAnsi="Helvetica Neue"/>
      <w:b/>
      <w:bCs/>
      <w:color w:val="1B2A41"/>
      <w:sz w:val="40"/>
      <w:szCs w:val="40"/>
    </w:rPr>
  </w:style>
  <w:style w:type="paragraph" w:styleId="Heading2">
    <w:name w:val="Heading 2"/>
    <w:basedOn w:val="Normal"/>
    <w:next w:val="Normal"/>
    <w:qFormat/>
    <w:pPr>
      <w:spacing w:after="120" w:before="280"/>
      <w:outlineLvl w:val="1"/>
    </w:pPr>
    <w:rPr>
      <w:rFonts w:ascii="Helvetica Neue" w:cs="Helvetica Neue" w:eastAsia="Helvetica Neue" w:hAnsi="Helvetica Neue"/>
      <w:b/>
      <w:bCs/>
      <w:color w:val="B5432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5b1a516f2afe0198a1291f6972b1632cfce12be8.png"/><Relationship Id="rId12" Type="http://schemas.openxmlformats.org/officeDocument/2006/relationships/image" Target="media/8a047447ffd630549d3cabaa97c60cab1e0479ac.png"/><Relationship Id="rId13" Type="http://schemas.openxmlformats.org/officeDocument/2006/relationships/image" Target="media/063da1bc266aab96d3fe58c08fe555dbd403d631.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Narrative Intelligence Studio: Story as a Clinical Variable, and the Institution That Owns It</dc:title>
  <dc:creator>Ritual Ads, Inc.</dc:creator>
  <dc:description>A Ritual Ads white paper defining the Narrative Intelligence Studio and the evidence for narrative medicine.</dc:description>
  <cp:lastModifiedBy>Un-named</cp:lastModifiedBy>
  <cp:revision>1</cp:revision>
  <dcterms:created xsi:type="dcterms:W3CDTF">2026-09-07T23:27:55.823Z</dcterms:created>
  <dcterms:modified xsi:type="dcterms:W3CDTF">2026-09-07T23:27:55.823Z</dcterms:modified>
</cp:coreProperties>
</file>

<file path=docProps/custom.xml><?xml version="1.0" encoding="utf-8"?>
<Properties xmlns="http://schemas.openxmlformats.org/officeDocument/2006/custom-properties" xmlns:vt="http://schemas.openxmlformats.org/officeDocument/2006/docPropsVTypes"/>
</file>